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CAC3" w14:textId="5954FC72" w:rsidR="006B3866" w:rsidRPr="00A06121" w:rsidRDefault="00A06121" w:rsidP="00B10953">
      <w:pPr>
        <w:spacing w:line="360" w:lineRule="auto"/>
        <w:rPr>
          <w:rFonts w:ascii="Times New Roman" w:hAnsi="Times New Roman" w:cs="Times New Roman"/>
          <w:b/>
          <w:bCs/>
        </w:rPr>
      </w:pPr>
      <w:r w:rsidRPr="00A06121">
        <w:rPr>
          <w:rFonts w:ascii="Times New Roman" w:hAnsi="Times New Roman" w:cs="Times New Roman"/>
          <w:b/>
          <w:bCs/>
        </w:rPr>
        <w:t>Grafické systémy na označovanie výživovej hodnoty potravín na prednej strane obalu</w:t>
      </w:r>
    </w:p>
    <w:p w14:paraId="578DF183" w14:textId="077FA69B" w:rsidR="000B7834" w:rsidRDefault="000B7834" w:rsidP="00B10953">
      <w:pPr>
        <w:spacing w:line="360" w:lineRule="auto"/>
        <w:rPr>
          <w:rFonts w:ascii="Times New Roman" w:hAnsi="Times New Roman" w:cs="Times New Roman"/>
        </w:rPr>
      </w:pPr>
    </w:p>
    <w:p w14:paraId="1DB3D467" w14:textId="403BFA65" w:rsidR="007E7B63" w:rsidRDefault="000B7834" w:rsidP="007E7B6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posledných rokoch neustále narastá počet pacientov trpiacich nadváhou až obezitou a tzv. civilizačnými ochoreniami (diabetes mellitus, kardiovaskulárne ochorenia, vysoký krvný tlak, niektoré typy onkologických ochorení). </w:t>
      </w:r>
      <w:r w:rsidR="00457B0C">
        <w:rPr>
          <w:rFonts w:ascii="Times New Roman" w:hAnsi="Times New Roman" w:cs="Times New Roman"/>
        </w:rPr>
        <w:t xml:space="preserve">Medzi hlavné rizikové faktory patrí nesprávny životný štýl </w:t>
      </w:r>
      <w:r w:rsidR="00457B0C" w:rsidRPr="00457B0C">
        <w:rPr>
          <w:rFonts w:ascii="Times New Roman" w:hAnsi="Times New Roman" w:cs="Times New Roman"/>
        </w:rPr>
        <w:t>(málo prirodzeného pohybu, sedavé zamestnanie, nedostatočná psychohygiena</w:t>
      </w:r>
      <w:r w:rsidR="00457B0C">
        <w:rPr>
          <w:rFonts w:ascii="Times New Roman" w:hAnsi="Times New Roman" w:cs="Times New Roman"/>
        </w:rPr>
        <w:t>, chronický stres</w:t>
      </w:r>
      <w:r w:rsidR="00457B0C" w:rsidRPr="00457B0C">
        <w:rPr>
          <w:rFonts w:ascii="Times New Roman" w:hAnsi="Times New Roman" w:cs="Times New Roman"/>
        </w:rPr>
        <w:t>)</w:t>
      </w:r>
      <w:r w:rsidR="00457B0C">
        <w:rPr>
          <w:rFonts w:ascii="Times New Roman" w:hAnsi="Times New Roman" w:cs="Times New Roman"/>
        </w:rPr>
        <w:t xml:space="preserve"> a nesprávna strava. Konzumujeme príliš veľa priemyselne spracovaných potravín, ktoré majú vysoký obsah cukrov, soli či nekvalitných tukov.</w:t>
      </w:r>
      <w:r w:rsidR="00AB33E9">
        <w:rPr>
          <w:rFonts w:ascii="Times New Roman" w:hAnsi="Times New Roman" w:cs="Times New Roman"/>
        </w:rPr>
        <w:t xml:space="preserve"> Takéto potraviny</w:t>
      </w:r>
      <w:r w:rsidR="00457B0C">
        <w:rPr>
          <w:rFonts w:ascii="Times New Roman" w:hAnsi="Times New Roman" w:cs="Times New Roman"/>
        </w:rPr>
        <w:t xml:space="preserve"> majú </w:t>
      </w:r>
      <w:r w:rsidR="00AB33E9">
        <w:rPr>
          <w:rFonts w:ascii="Times New Roman" w:hAnsi="Times New Roman" w:cs="Times New Roman"/>
        </w:rPr>
        <w:t xml:space="preserve">zvyčajne </w:t>
      </w:r>
      <w:r w:rsidR="00457B0C">
        <w:rPr>
          <w:rFonts w:ascii="Times New Roman" w:hAnsi="Times New Roman" w:cs="Times New Roman"/>
        </w:rPr>
        <w:t>vysokú energetickú hodnotu</w:t>
      </w:r>
      <w:r w:rsidR="00AB33E9">
        <w:rPr>
          <w:rFonts w:ascii="Times New Roman" w:hAnsi="Times New Roman" w:cs="Times New Roman"/>
        </w:rPr>
        <w:t>, poskytnú chuťový pôžitok, avšak ich výživová hodnota je zvyčajne nízka</w:t>
      </w:r>
      <w:r w:rsidR="00457B0C">
        <w:rPr>
          <w:rFonts w:ascii="Times New Roman" w:hAnsi="Times New Roman" w:cs="Times New Roman"/>
        </w:rPr>
        <w:t>. Na druhú stranu, príjem vlákniny, vitamínov a minerálnych látok v ich prirodzenej forme (</w:t>
      </w:r>
      <w:r w:rsidR="00AB33E9">
        <w:rPr>
          <w:rFonts w:ascii="Times New Roman" w:hAnsi="Times New Roman" w:cs="Times New Roman"/>
        </w:rPr>
        <w:t xml:space="preserve">tzn. </w:t>
      </w:r>
      <w:r w:rsidR="00457B0C">
        <w:rPr>
          <w:rFonts w:ascii="Times New Roman" w:hAnsi="Times New Roman" w:cs="Times New Roman"/>
        </w:rPr>
        <w:t xml:space="preserve">ovocie, zelenina, celozrnné obilniny, strukoviny, orechy či semienka) je nedostatočný. </w:t>
      </w:r>
      <w:r w:rsidR="00AB33E9">
        <w:rPr>
          <w:rFonts w:ascii="Times New Roman" w:hAnsi="Times New Roman" w:cs="Times New Roman"/>
        </w:rPr>
        <w:t xml:space="preserve">Ak teda chceme tento trend zmeniť, musíme zmeniť naše stravovanie. </w:t>
      </w:r>
    </w:p>
    <w:p w14:paraId="2DC5E7A4" w14:textId="5B74279B" w:rsidR="003E5B9E" w:rsidRDefault="00CD4DE8" w:rsidP="003E5B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Avšak na to, aby bol spotrebiteľ schopný vykonať správne rozhodnutie pri výbere potravín, musí mať k dispozícii dostatočné informácie o potravinárskych výrobkoch. Musí vedieť, ktoré potraviny je vhodné konzumovať na dennej báze a ktoré len príležitostne.  </w:t>
      </w:r>
      <w:r w:rsidR="00A34CF6">
        <w:rPr>
          <w:rFonts w:ascii="Times New Roman" w:hAnsi="Times New Roman" w:cs="Times New Roman"/>
        </w:rPr>
        <w:t xml:space="preserve">V tomto kontexte má najväčší význam </w:t>
      </w:r>
      <w:r w:rsidR="00422922">
        <w:rPr>
          <w:rFonts w:ascii="Times New Roman" w:hAnsi="Times New Roman" w:cs="Times New Roman"/>
        </w:rPr>
        <w:t xml:space="preserve">Nariadenie </w:t>
      </w:r>
      <w:r w:rsidR="00A34CF6" w:rsidRPr="00A34CF6">
        <w:rPr>
          <w:rFonts w:ascii="Times New Roman" w:hAnsi="Times New Roman" w:cs="Times New Roman"/>
        </w:rPr>
        <w:t>Európskeho parlamentu a Rady (ES</w:t>
      </w:r>
      <w:r w:rsidR="00A34CF6">
        <w:rPr>
          <w:rFonts w:ascii="Times New Roman" w:hAnsi="Times New Roman" w:cs="Times New Roman"/>
        </w:rPr>
        <w:t>)</w:t>
      </w:r>
      <w:r w:rsidR="00A34CF6" w:rsidRPr="00A34CF6">
        <w:rPr>
          <w:rFonts w:ascii="Times New Roman" w:hAnsi="Times New Roman" w:cs="Times New Roman"/>
        </w:rPr>
        <w:t xml:space="preserve"> č. 1169/2011</w:t>
      </w:r>
      <w:r w:rsidR="00A34CF6">
        <w:rPr>
          <w:rFonts w:ascii="Times New Roman" w:hAnsi="Times New Roman" w:cs="Times New Roman"/>
        </w:rPr>
        <w:t xml:space="preserve"> </w:t>
      </w:r>
      <w:r w:rsidR="00A34CF6" w:rsidRPr="00A34CF6">
        <w:rPr>
          <w:rFonts w:ascii="Times New Roman" w:hAnsi="Times New Roman" w:cs="Times New Roman"/>
        </w:rPr>
        <w:t>z 25. októbra 2011</w:t>
      </w:r>
      <w:r w:rsidR="00A34CF6">
        <w:rPr>
          <w:rFonts w:ascii="Times New Roman" w:hAnsi="Times New Roman" w:cs="Times New Roman"/>
        </w:rPr>
        <w:t xml:space="preserve"> </w:t>
      </w:r>
      <w:r w:rsidR="00A34CF6" w:rsidRPr="00A34CF6">
        <w:rPr>
          <w:rFonts w:ascii="Times New Roman" w:hAnsi="Times New Roman" w:cs="Times New Roman"/>
        </w:rPr>
        <w:t>o poskytovaní́ informácií o potravinách spotrebiteľom</w:t>
      </w:r>
      <w:r w:rsidR="00A34CF6">
        <w:rPr>
          <w:rFonts w:ascii="Times New Roman" w:hAnsi="Times New Roman" w:cs="Times New Roman"/>
        </w:rPr>
        <w:t>. Okrem iného sa tu uvádza: „</w:t>
      </w:r>
      <w:r w:rsidR="00A34CF6" w:rsidRPr="00A34CF6">
        <w:rPr>
          <w:rFonts w:ascii="Times New Roman" w:hAnsi="Times New Roman" w:cs="Times New Roman"/>
        </w:rPr>
        <w:t>Poznanie základných zásad výživy a primerané informácie o výživovej hodnote potravín by výrazne prispeli k tomu, aby sa spotrebiteľ mohol rozhodovať na základe informácií.</w:t>
      </w:r>
      <w:r w:rsidR="00A34CF6">
        <w:rPr>
          <w:rFonts w:ascii="Times New Roman" w:hAnsi="Times New Roman" w:cs="Times New Roman"/>
        </w:rPr>
        <w:t xml:space="preserve">“ </w:t>
      </w:r>
    </w:p>
    <w:p w14:paraId="7CBE372D" w14:textId="64029734" w:rsidR="00A34CF6" w:rsidRDefault="00A34CF6" w:rsidP="003E5B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však ukazuje prax, mnohí spotrebitelia údajom na etiketách potravinárskych výrobkov nerozumejú a paradoxne ich považujú za zbytočné až mätúce. </w:t>
      </w:r>
      <w:r w:rsidR="007E7B63">
        <w:rPr>
          <w:rFonts w:ascii="Times New Roman" w:hAnsi="Times New Roman" w:cs="Times New Roman"/>
        </w:rPr>
        <w:t xml:space="preserve">Táto skutočnosť </w:t>
      </w:r>
      <w:r w:rsidR="00DF58D9">
        <w:rPr>
          <w:rFonts w:ascii="Times New Roman" w:hAnsi="Times New Roman" w:cs="Times New Roman"/>
        </w:rPr>
        <w:t>sa stala</w:t>
      </w:r>
      <w:r w:rsidR="007E7B63">
        <w:rPr>
          <w:rFonts w:ascii="Times New Roman" w:hAnsi="Times New Roman" w:cs="Times New Roman"/>
        </w:rPr>
        <w:t xml:space="preserve"> podnetom na kreovanie nových, jednoduchších nástrojov na rýchly a informovaný výber potravín. </w:t>
      </w:r>
      <w:r w:rsidR="003E5B9E" w:rsidRPr="003E5B9E">
        <w:rPr>
          <w:rFonts w:ascii="Times New Roman" w:hAnsi="Times New Roman" w:cs="Times New Roman"/>
        </w:rPr>
        <w:t>Systémy na označovanie potravín na prednej strane obalu majú poskytovať sumárne informáciu o zdravosti potravín. V krajinách EÚ, ale aj inde vo svete sa tieto systémy používajú ako pomôcka pre spotrebiteľov pri informovanej voľbe potravín s nádejou, že informovanosť povedie spotrebiteľa aj k zdravšiemu stravovaniu.</w:t>
      </w:r>
      <w:r w:rsidR="003E5B9E">
        <w:rPr>
          <w:rFonts w:ascii="Times New Roman" w:hAnsi="Times New Roman" w:cs="Times New Roman"/>
        </w:rPr>
        <w:t xml:space="preserve"> </w:t>
      </w:r>
      <w:r w:rsidR="007E7B63">
        <w:rPr>
          <w:rFonts w:ascii="Times New Roman" w:hAnsi="Times New Roman" w:cs="Times New Roman"/>
        </w:rPr>
        <w:t xml:space="preserve">V súčasnosti sa </w:t>
      </w:r>
      <w:r w:rsidR="003E5B9E">
        <w:rPr>
          <w:rFonts w:ascii="Times New Roman" w:hAnsi="Times New Roman" w:cs="Times New Roman"/>
        </w:rPr>
        <w:t xml:space="preserve">v rámci EÚ </w:t>
      </w:r>
      <w:r w:rsidR="007E7B63">
        <w:rPr>
          <w:rFonts w:ascii="Times New Roman" w:hAnsi="Times New Roman" w:cs="Times New Roman"/>
        </w:rPr>
        <w:t>diskutuje najmä o dvoch systémoch – Nutriscore</w:t>
      </w:r>
      <w:bookmarkStart w:id="0" w:name="_GoBack"/>
      <w:bookmarkEnd w:id="0"/>
      <w:r w:rsidR="007E7B63">
        <w:rPr>
          <w:rFonts w:ascii="Times New Roman" w:hAnsi="Times New Roman" w:cs="Times New Roman"/>
        </w:rPr>
        <w:t xml:space="preserve"> a Nutrinform battery. </w:t>
      </w:r>
      <w:r w:rsidR="00CE71C3">
        <w:rPr>
          <w:rFonts w:ascii="Times New Roman" w:hAnsi="Times New Roman" w:cs="Times New Roman"/>
        </w:rPr>
        <w:t xml:space="preserve">Oba uvedené systémy vychádzajú z údajov o výživovom zložení potravín. Len pre pripomenutie – povinne sa uvádzajú tieto údaje: </w:t>
      </w:r>
      <w:r w:rsidR="00CE71C3" w:rsidRPr="00CE71C3">
        <w:rPr>
          <w:rFonts w:ascii="Times New Roman" w:hAnsi="Times New Roman" w:cs="Times New Roman"/>
        </w:rPr>
        <w:t>energetická hodnota a množstvo tuku, nasýtených mastných kyselín, sacharidov, cukrov, bielkovín a soli.</w:t>
      </w:r>
    </w:p>
    <w:p w14:paraId="3B7B8299" w14:textId="77777777" w:rsidR="004A4924" w:rsidRDefault="004A4924" w:rsidP="00B10953">
      <w:pPr>
        <w:spacing w:line="360" w:lineRule="auto"/>
        <w:rPr>
          <w:rFonts w:ascii="Times New Roman" w:hAnsi="Times New Roman" w:cs="Times New Roman"/>
        </w:rPr>
      </w:pPr>
    </w:p>
    <w:p w14:paraId="400FDDD6" w14:textId="77777777" w:rsidR="00406CD2" w:rsidRDefault="00406CD2" w:rsidP="00B1095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5005AA" w14:textId="77777777" w:rsidR="00406CD2" w:rsidRDefault="00406CD2" w:rsidP="00B1095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E8B37BC" w14:textId="3BBE36FB" w:rsidR="00B10953" w:rsidRPr="004A4924" w:rsidRDefault="004A4924" w:rsidP="00B10953">
      <w:pPr>
        <w:spacing w:line="360" w:lineRule="auto"/>
        <w:rPr>
          <w:rFonts w:ascii="Times New Roman" w:hAnsi="Times New Roman" w:cs="Times New Roman"/>
          <w:b/>
          <w:bCs/>
        </w:rPr>
      </w:pPr>
      <w:r w:rsidRPr="004A4924">
        <w:rPr>
          <w:rFonts w:ascii="Times New Roman" w:hAnsi="Times New Roman" w:cs="Times New Roman"/>
          <w:b/>
          <w:bCs/>
        </w:rPr>
        <w:lastRenderedPageBreak/>
        <w:t>Nutriscore</w:t>
      </w:r>
    </w:p>
    <w:p w14:paraId="5DCDEDE7" w14:textId="40DEF553" w:rsidR="00E14A3D" w:rsidRDefault="004A4924" w:rsidP="004229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systém bol vyvinutý vo Francúzsku a používa sa </w:t>
      </w:r>
      <w:r w:rsidRPr="004A4924">
        <w:rPr>
          <w:rFonts w:ascii="Times New Roman" w:hAnsi="Times New Roman" w:cs="Times New Roman"/>
        </w:rPr>
        <w:t>aj v Nemecku, Belgicku či Španielsku</w:t>
      </w:r>
      <w:r>
        <w:rPr>
          <w:rFonts w:ascii="Times New Roman" w:hAnsi="Times New Roman" w:cs="Times New Roman"/>
        </w:rPr>
        <w:t xml:space="preserve">. Postupne nachádza uplatnenie aj na našom trhu. </w:t>
      </w:r>
      <w:r w:rsidR="00E14A3D">
        <w:rPr>
          <w:rFonts w:ascii="Times New Roman" w:hAnsi="Times New Roman" w:cs="Times New Roman"/>
        </w:rPr>
        <w:t>Je pomerne jednoduchý na pochopenie a interpretuje zloženie výroku ako cel</w:t>
      </w:r>
      <w:r w:rsidR="00830CD0">
        <w:rPr>
          <w:rFonts w:ascii="Times New Roman" w:hAnsi="Times New Roman" w:cs="Times New Roman"/>
        </w:rPr>
        <w:t>ok</w:t>
      </w:r>
      <w:r w:rsidR="00E14A3D">
        <w:rPr>
          <w:rFonts w:ascii="Times New Roman" w:hAnsi="Times New Roman" w:cs="Times New Roman"/>
        </w:rPr>
        <w:t xml:space="preserve">. </w:t>
      </w:r>
      <w:r w:rsidR="002C3243">
        <w:rPr>
          <w:rFonts w:ascii="Times New Roman" w:hAnsi="Times New Roman" w:cs="Times New Roman"/>
        </w:rPr>
        <w:t>Algoritmus na výpočet výsledného skóre berie do úvahy živiny, ktoré by sme mali prijímať v obmedzenom množstve (energia, nasýtené mastné kyseliny, cukry či soľ) a tiež živiny zdraviu prospešné (</w:t>
      </w:r>
      <w:r w:rsidR="002C3243" w:rsidRPr="002C3243">
        <w:rPr>
          <w:rFonts w:ascii="Times New Roman" w:hAnsi="Times New Roman" w:cs="Times New Roman"/>
        </w:rPr>
        <w:t>množstvo vlákniny, bielkovín, ale aj podiel ovocia a zeleniny, orechov, repkového a olivového oleja vo výrobku</w:t>
      </w:r>
      <w:r w:rsidR="002C3243">
        <w:rPr>
          <w:rFonts w:ascii="Times New Roman" w:hAnsi="Times New Roman" w:cs="Times New Roman"/>
        </w:rPr>
        <w:t xml:space="preserve">). </w:t>
      </w:r>
      <w:r w:rsidR="00E14A3D">
        <w:rPr>
          <w:rFonts w:ascii="Times New Roman" w:hAnsi="Times New Roman" w:cs="Times New Roman"/>
        </w:rPr>
        <w:t xml:space="preserve">Jednoducho povedané, čím vyšší obsah uvedených zložiek potravina obsahuje, tým vyšší počet bodov algoritmus pridelí. </w:t>
      </w:r>
      <w:r w:rsidR="00422967">
        <w:rPr>
          <w:rFonts w:ascii="Times New Roman" w:hAnsi="Times New Roman" w:cs="Times New Roman"/>
        </w:rPr>
        <w:t>V</w:t>
      </w:r>
      <w:r w:rsidR="00E14A3D">
        <w:rPr>
          <w:rFonts w:ascii="Times New Roman" w:hAnsi="Times New Roman" w:cs="Times New Roman"/>
        </w:rPr>
        <w:t xml:space="preserve">zájomným odčítaním bodov </w:t>
      </w:r>
      <w:r w:rsidR="00422967">
        <w:rPr>
          <w:rFonts w:ascii="Times New Roman" w:hAnsi="Times New Roman" w:cs="Times New Roman"/>
        </w:rPr>
        <w:t xml:space="preserve">za nepriaznivé zložky a bodov za zložky zdraviu priaznivé </w:t>
      </w:r>
      <w:r w:rsidR="00E14A3D">
        <w:rPr>
          <w:rFonts w:ascii="Times New Roman" w:hAnsi="Times New Roman" w:cs="Times New Roman"/>
        </w:rPr>
        <w:t>sa prideľuje výsledné skóre.</w:t>
      </w:r>
      <w:r w:rsidR="00422967">
        <w:rPr>
          <w:rFonts w:ascii="Times New Roman" w:hAnsi="Times New Roman" w:cs="Times New Roman"/>
        </w:rPr>
        <w:t xml:space="preserve"> Nutriscore prideľuje jednotlivým </w:t>
      </w:r>
      <w:r w:rsidR="002C3243">
        <w:rPr>
          <w:rFonts w:ascii="Times New Roman" w:hAnsi="Times New Roman" w:cs="Times New Roman"/>
        </w:rPr>
        <w:t>produktom hodnotenie A až E</w:t>
      </w:r>
      <w:r w:rsidR="00E14A3D">
        <w:rPr>
          <w:rFonts w:ascii="Times New Roman" w:hAnsi="Times New Roman" w:cs="Times New Roman"/>
        </w:rPr>
        <w:t xml:space="preserve"> a toto je</w:t>
      </w:r>
      <w:r w:rsidR="002C3243">
        <w:rPr>
          <w:rFonts w:ascii="Times New Roman" w:hAnsi="Times New Roman" w:cs="Times New Roman"/>
        </w:rPr>
        <w:t xml:space="preserve"> rozlíšené aj farebne</w:t>
      </w:r>
      <w:r w:rsidR="00E14A3D">
        <w:t xml:space="preserve">. </w:t>
      </w:r>
      <w:r w:rsidR="00E14A3D" w:rsidRPr="00E14A3D">
        <w:rPr>
          <w:rFonts w:ascii="Times New Roman" w:hAnsi="Times New Roman" w:cs="Times New Roman"/>
        </w:rPr>
        <w:t xml:space="preserve">Písmeno A so zeleným pozadím znamená, že výrobok má dobré skóre z hľadiska celkovej výživovej hodnoty. </w:t>
      </w:r>
      <w:r w:rsidR="00E14A3D">
        <w:rPr>
          <w:rFonts w:ascii="Times New Roman" w:hAnsi="Times New Roman" w:cs="Times New Roman"/>
        </w:rPr>
        <w:t xml:space="preserve">Tmavooranžové písmeno E nás naopak upozorňuje, že daný produkt by sme mali konzumovať striedmo, resp. iba v malom množstve. </w:t>
      </w:r>
      <w:r w:rsidR="003E5B9E">
        <w:rPr>
          <w:rFonts w:ascii="Times New Roman" w:hAnsi="Times New Roman" w:cs="Times New Roman"/>
        </w:rPr>
        <w:t xml:space="preserve">Nutriscore </w:t>
      </w:r>
      <w:r w:rsidR="00422967">
        <w:rPr>
          <w:rFonts w:ascii="Times New Roman" w:hAnsi="Times New Roman" w:cs="Times New Roman"/>
        </w:rPr>
        <w:t xml:space="preserve"> j</w:t>
      </w:r>
      <w:r w:rsidR="00E14A3D">
        <w:rPr>
          <w:rFonts w:ascii="Times New Roman" w:hAnsi="Times New Roman" w:cs="Times New Roman"/>
        </w:rPr>
        <w:t xml:space="preserve">e vhodný najmä na cielené porovnávanie </w:t>
      </w:r>
      <w:r w:rsidR="00E14A3D" w:rsidRPr="004A4924">
        <w:rPr>
          <w:rFonts w:ascii="Times New Roman" w:hAnsi="Times New Roman" w:cs="Times New Roman"/>
        </w:rPr>
        <w:t xml:space="preserve">produktov v rámci tej istej kategórie (napr. mliečne výrobky, mäsové výrobky, </w:t>
      </w:r>
      <w:proofErr w:type="spellStart"/>
      <w:r w:rsidR="00E14A3D" w:rsidRPr="004A4924">
        <w:rPr>
          <w:rFonts w:ascii="Times New Roman" w:hAnsi="Times New Roman" w:cs="Times New Roman"/>
        </w:rPr>
        <w:t>raňajkové</w:t>
      </w:r>
      <w:proofErr w:type="spellEnd"/>
      <w:r w:rsidR="00E14A3D" w:rsidRPr="004A4924">
        <w:rPr>
          <w:rFonts w:ascii="Times New Roman" w:hAnsi="Times New Roman" w:cs="Times New Roman"/>
        </w:rPr>
        <w:t xml:space="preserve"> cereálie a pod.)</w:t>
      </w:r>
      <w:r w:rsidR="00422967">
        <w:rPr>
          <w:rFonts w:ascii="Times New Roman" w:hAnsi="Times New Roman" w:cs="Times New Roman"/>
        </w:rPr>
        <w:t>, pretože porovnáva údaje uvedené na 100 g (resp. 100 ml) potraviny. P</w:t>
      </w:r>
      <w:r w:rsidR="00422967" w:rsidRPr="00422967">
        <w:rPr>
          <w:rFonts w:ascii="Times New Roman" w:hAnsi="Times New Roman" w:cs="Times New Roman"/>
        </w:rPr>
        <w:t xml:space="preserve">orovnávaním podobných výrobkov pomocou </w:t>
      </w:r>
      <w:r w:rsidR="00422967">
        <w:rPr>
          <w:rFonts w:ascii="Times New Roman" w:hAnsi="Times New Roman" w:cs="Times New Roman"/>
        </w:rPr>
        <w:t xml:space="preserve">Nutriscore </w:t>
      </w:r>
      <w:r w:rsidR="00422967" w:rsidRPr="00422967">
        <w:rPr>
          <w:rFonts w:ascii="Times New Roman" w:hAnsi="Times New Roman" w:cs="Times New Roman"/>
        </w:rPr>
        <w:t>škály je možné odhaliť rozdiely vyplývajúce z receptúry výrobkov</w:t>
      </w:r>
      <w:r w:rsidR="003E5B9E">
        <w:rPr>
          <w:rFonts w:ascii="Times New Roman" w:hAnsi="Times New Roman" w:cs="Times New Roman"/>
        </w:rPr>
        <w:t>.</w:t>
      </w:r>
      <w:r w:rsidR="00422967">
        <w:rPr>
          <w:rFonts w:ascii="Times New Roman" w:hAnsi="Times New Roman" w:cs="Times New Roman"/>
        </w:rPr>
        <w:t xml:space="preserve"> Nutriscore </w:t>
      </w:r>
      <w:r w:rsidR="00422967" w:rsidRPr="00422967">
        <w:rPr>
          <w:rFonts w:ascii="Times New Roman" w:hAnsi="Times New Roman" w:cs="Times New Roman"/>
        </w:rPr>
        <w:t>systém je pomerne nelichotivý voči niektorým základným jednozložkovým potravinárskym výrobkom</w:t>
      </w:r>
      <w:r w:rsidR="003E5B9E">
        <w:rPr>
          <w:rFonts w:ascii="Times New Roman" w:hAnsi="Times New Roman" w:cs="Times New Roman"/>
        </w:rPr>
        <w:t>,</w:t>
      </w:r>
      <w:r w:rsidR="00422967" w:rsidRPr="00422967">
        <w:rPr>
          <w:rFonts w:ascii="Times New Roman" w:hAnsi="Times New Roman" w:cs="Times New Roman"/>
        </w:rPr>
        <w:t xml:space="preserve"> napr. zo skupiny </w:t>
      </w:r>
      <w:proofErr w:type="spellStart"/>
      <w:r w:rsidR="00422967" w:rsidRPr="00422967">
        <w:rPr>
          <w:rFonts w:ascii="Times New Roman" w:hAnsi="Times New Roman" w:cs="Times New Roman"/>
        </w:rPr>
        <w:t>vysokotučných</w:t>
      </w:r>
      <w:proofErr w:type="spellEnd"/>
      <w:r w:rsidR="00422967" w:rsidRPr="00422967">
        <w:rPr>
          <w:rFonts w:ascii="Times New Roman" w:hAnsi="Times New Roman" w:cs="Times New Roman"/>
        </w:rPr>
        <w:t xml:space="preserve"> mliečnych výrobkov</w:t>
      </w:r>
      <w:r w:rsidR="00422967">
        <w:rPr>
          <w:rFonts w:ascii="Times New Roman" w:hAnsi="Times New Roman" w:cs="Times New Roman"/>
        </w:rPr>
        <w:t xml:space="preserve"> alebo</w:t>
      </w:r>
      <w:r w:rsidR="00422967" w:rsidRPr="00422967">
        <w:rPr>
          <w:rFonts w:ascii="Times New Roman" w:hAnsi="Times New Roman" w:cs="Times New Roman"/>
        </w:rPr>
        <w:t xml:space="preserve"> mäsových výrobkov.</w:t>
      </w:r>
      <w:r w:rsidR="000A16E6">
        <w:rPr>
          <w:rFonts w:ascii="Times New Roman" w:hAnsi="Times New Roman" w:cs="Times New Roman"/>
        </w:rPr>
        <w:t xml:space="preserve"> </w:t>
      </w:r>
    </w:p>
    <w:p w14:paraId="5DAFDF71" w14:textId="77777777" w:rsidR="00E14A3D" w:rsidRDefault="00E14A3D" w:rsidP="00B10953">
      <w:pPr>
        <w:spacing w:line="360" w:lineRule="auto"/>
        <w:rPr>
          <w:rFonts w:ascii="Times New Roman" w:hAnsi="Times New Roman" w:cs="Times New Roman"/>
        </w:rPr>
      </w:pPr>
    </w:p>
    <w:p w14:paraId="473CFE96" w14:textId="019F7749" w:rsidR="00B10953" w:rsidRPr="00E14A3D" w:rsidRDefault="00B10953" w:rsidP="00B10953">
      <w:pPr>
        <w:spacing w:line="360" w:lineRule="auto"/>
        <w:rPr>
          <w:rFonts w:ascii="Times New Roman" w:hAnsi="Times New Roman" w:cs="Times New Roman"/>
          <w:b/>
          <w:bCs/>
        </w:rPr>
      </w:pPr>
      <w:r w:rsidRPr="00E14A3D">
        <w:rPr>
          <w:rFonts w:ascii="Times New Roman" w:hAnsi="Times New Roman" w:cs="Times New Roman"/>
          <w:b/>
          <w:bCs/>
        </w:rPr>
        <w:t>Nutrinform battery</w:t>
      </w:r>
    </w:p>
    <w:p w14:paraId="0FD02821" w14:textId="16AD501D" w:rsidR="001867CC" w:rsidRDefault="001867CC" w:rsidP="00DF58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Systém Nutrinform battery bol vyvinutý v Taliansku. Používajú ho však aj niektorí drobní farmári vo Francúzsku či Španielsku na označovanie tradičných potravín. Tento systém označovania potravín berie do úvahy </w:t>
      </w:r>
      <w:r w:rsidRPr="001867CC">
        <w:rPr>
          <w:rFonts w:ascii="Times New Roman" w:hAnsi="Times New Roman" w:cs="Times New Roman"/>
        </w:rPr>
        <w:t>obsah energie a vybraných živín (cukry, tuky, nasýtené mastné kyseliny a soľ)</w:t>
      </w:r>
      <w:r>
        <w:rPr>
          <w:rFonts w:ascii="Times New Roman" w:hAnsi="Times New Roman" w:cs="Times New Roman"/>
        </w:rPr>
        <w:t xml:space="preserve"> </w:t>
      </w:r>
      <w:r w:rsidRPr="001867CC">
        <w:rPr>
          <w:rFonts w:ascii="Times New Roman" w:hAnsi="Times New Roman" w:cs="Times New Roman"/>
        </w:rPr>
        <w:t>v rámci jednej porci</w:t>
      </w:r>
      <w:r w:rsidR="00830CD0">
        <w:rPr>
          <w:rFonts w:ascii="Times New Roman" w:hAnsi="Times New Roman" w:cs="Times New Roman"/>
        </w:rPr>
        <w:t>e</w:t>
      </w:r>
      <w:r w:rsidRPr="001867CC">
        <w:rPr>
          <w:rFonts w:ascii="Times New Roman" w:hAnsi="Times New Roman" w:cs="Times New Roman"/>
        </w:rPr>
        <w:t xml:space="preserve"> jedla alebo nápoja.</w:t>
      </w:r>
      <w:r>
        <w:rPr>
          <w:rFonts w:ascii="Times New Roman" w:hAnsi="Times New Roman" w:cs="Times New Roman"/>
          <w:b/>
          <w:bCs/>
        </w:rPr>
        <w:t xml:space="preserve"> </w:t>
      </w:r>
      <w:r w:rsidRPr="001867CC">
        <w:rPr>
          <w:rFonts w:ascii="Times New Roman" w:hAnsi="Times New Roman" w:cs="Times New Roman"/>
        </w:rPr>
        <w:t>Jedna porcia odpovedá množstvu jedla alebo nápoja, ktorú reálne spotrebiteľ zje alebo vypije pri jednej príležitosti</w:t>
      </w:r>
      <w:r>
        <w:rPr>
          <w:rFonts w:ascii="Times New Roman" w:hAnsi="Times New Roman" w:cs="Times New Roman"/>
        </w:rPr>
        <w:t>.</w:t>
      </w:r>
      <w:r w:rsidR="00830CD0">
        <w:rPr>
          <w:rFonts w:ascii="Times New Roman" w:hAnsi="Times New Roman" w:cs="Times New Roman"/>
        </w:rPr>
        <w:t xml:space="preserve"> U</w:t>
      </w:r>
      <w:r w:rsidR="00830CD0" w:rsidRPr="00830CD0">
        <w:rPr>
          <w:rFonts w:ascii="Times New Roman" w:hAnsi="Times New Roman" w:cs="Times New Roman"/>
        </w:rPr>
        <w:t xml:space="preserve">vedený obsah energie a živín sa </w:t>
      </w:r>
      <w:r w:rsidR="00830CD0">
        <w:rPr>
          <w:rFonts w:ascii="Times New Roman" w:hAnsi="Times New Roman" w:cs="Times New Roman"/>
        </w:rPr>
        <w:t xml:space="preserve">následne </w:t>
      </w:r>
      <w:r w:rsidR="00830CD0" w:rsidRPr="00830CD0">
        <w:rPr>
          <w:rFonts w:ascii="Times New Roman" w:hAnsi="Times New Roman" w:cs="Times New Roman"/>
        </w:rPr>
        <w:t>porovnáva voči referenčnému príjmu živín, ktorý je definovaný v Nariadení EÚ č. 1169/2011</w:t>
      </w:r>
      <w:r w:rsidR="00830CD0">
        <w:rPr>
          <w:rFonts w:ascii="Times New Roman" w:hAnsi="Times New Roman" w:cs="Times New Roman"/>
        </w:rPr>
        <w:t>. O</w:t>
      </w:r>
      <w:r w:rsidR="00830CD0" w:rsidRPr="00830CD0">
        <w:rPr>
          <w:rFonts w:ascii="Times New Roman" w:hAnsi="Times New Roman" w:cs="Times New Roman"/>
        </w:rPr>
        <w:t>bsah energie a vybraných živín je znázornený percentuálne aj graficky</w:t>
      </w:r>
      <w:r w:rsidR="00830CD0">
        <w:rPr>
          <w:rFonts w:ascii="Times New Roman" w:hAnsi="Times New Roman" w:cs="Times New Roman"/>
        </w:rPr>
        <w:t>. S</w:t>
      </w:r>
      <w:r w:rsidR="00830CD0" w:rsidRPr="00830CD0">
        <w:rPr>
          <w:rFonts w:ascii="Times New Roman" w:hAnsi="Times New Roman" w:cs="Times New Roman"/>
        </w:rPr>
        <w:t xml:space="preserve">potrebiteľ je </w:t>
      </w:r>
      <w:r w:rsidR="00830CD0">
        <w:rPr>
          <w:rFonts w:ascii="Times New Roman" w:hAnsi="Times New Roman" w:cs="Times New Roman"/>
        </w:rPr>
        <w:t xml:space="preserve">tak </w:t>
      </w:r>
      <w:r w:rsidR="00830CD0" w:rsidRPr="00830CD0">
        <w:rPr>
          <w:rFonts w:ascii="Times New Roman" w:hAnsi="Times New Roman" w:cs="Times New Roman"/>
        </w:rPr>
        <w:t xml:space="preserve">informovaný, na koľko je daným jedlom či nápojom naplnený jeho referenčný príjem </w:t>
      </w:r>
      <w:r w:rsidR="00830CD0">
        <w:rPr>
          <w:rFonts w:ascii="Times New Roman" w:hAnsi="Times New Roman" w:cs="Times New Roman"/>
        </w:rPr>
        <w:t xml:space="preserve">u </w:t>
      </w:r>
      <w:r w:rsidR="00830CD0" w:rsidRPr="00830CD0">
        <w:rPr>
          <w:rFonts w:ascii="Times New Roman" w:hAnsi="Times New Roman" w:cs="Times New Roman"/>
        </w:rPr>
        <w:t>vybraných živín</w:t>
      </w:r>
      <w:r w:rsidR="00830CD0">
        <w:rPr>
          <w:rFonts w:ascii="Times New Roman" w:hAnsi="Times New Roman" w:cs="Times New Roman"/>
        </w:rPr>
        <w:t>. Súčtom jedál, konzumovaných v priebehu dňa, sa postupne nabíjajú jednotlivé batérie</w:t>
      </w:r>
      <w:r w:rsidR="00DF58D9">
        <w:rPr>
          <w:rFonts w:ascii="Times New Roman" w:hAnsi="Times New Roman" w:cs="Times New Roman"/>
        </w:rPr>
        <w:t xml:space="preserve"> a vďaka tomu spotrebiteľ</w:t>
      </w:r>
      <w:r w:rsidR="00830CD0">
        <w:rPr>
          <w:rFonts w:ascii="Times New Roman" w:hAnsi="Times New Roman" w:cs="Times New Roman"/>
        </w:rPr>
        <w:t xml:space="preserve"> neprekročí odporúčaný denný príjem a zároveň má aj informáciu o tom, aké množstvo tej-ktorej živiny môže v rámci dňa ešte skonzumovať. </w:t>
      </w:r>
      <w:r w:rsidRPr="001867CC">
        <w:rPr>
          <w:rFonts w:ascii="Times New Roman" w:hAnsi="Times New Roman" w:cs="Times New Roman"/>
        </w:rPr>
        <w:t xml:space="preserve">Grafický systém Nutrinform battery je praktický najmä u balených </w:t>
      </w:r>
      <w:r w:rsidRPr="001867CC">
        <w:rPr>
          <w:rFonts w:ascii="Times New Roman" w:hAnsi="Times New Roman" w:cs="Times New Roman"/>
        </w:rPr>
        <w:lastRenderedPageBreak/>
        <w:t xml:space="preserve">výrobkov, kde </w:t>
      </w:r>
      <w:r w:rsidR="00830CD0">
        <w:rPr>
          <w:rFonts w:ascii="Times New Roman" w:hAnsi="Times New Roman" w:cs="Times New Roman"/>
        </w:rPr>
        <w:t>jedno</w:t>
      </w:r>
      <w:r w:rsidRPr="001867CC">
        <w:rPr>
          <w:rFonts w:ascii="Times New Roman" w:hAnsi="Times New Roman" w:cs="Times New Roman"/>
        </w:rPr>
        <w:t xml:space="preserve"> balenie </w:t>
      </w:r>
      <w:r>
        <w:rPr>
          <w:rFonts w:ascii="Times New Roman" w:hAnsi="Times New Roman" w:cs="Times New Roman"/>
        </w:rPr>
        <w:t xml:space="preserve">predstavuje </w:t>
      </w:r>
      <w:r w:rsidR="00830CD0">
        <w:rPr>
          <w:rFonts w:ascii="Times New Roman" w:hAnsi="Times New Roman" w:cs="Times New Roman"/>
        </w:rPr>
        <w:t>práve jednu</w:t>
      </w:r>
      <w:r w:rsidRPr="001867CC">
        <w:rPr>
          <w:rFonts w:ascii="Times New Roman" w:hAnsi="Times New Roman" w:cs="Times New Roman"/>
        </w:rPr>
        <w:t xml:space="preserve"> porci</w:t>
      </w:r>
      <w:r>
        <w:rPr>
          <w:rFonts w:ascii="Times New Roman" w:hAnsi="Times New Roman" w:cs="Times New Roman"/>
        </w:rPr>
        <w:t xml:space="preserve">u (napr. téglik jogurtu, </w:t>
      </w:r>
      <w:r w:rsidR="00830CD0">
        <w:rPr>
          <w:rFonts w:ascii="Times New Roman" w:hAnsi="Times New Roman" w:cs="Times New Roman"/>
        </w:rPr>
        <w:t xml:space="preserve">balenie hotového pokrmu, </w:t>
      </w:r>
      <w:r>
        <w:rPr>
          <w:rFonts w:ascii="Times New Roman" w:hAnsi="Times New Roman" w:cs="Times New Roman"/>
        </w:rPr>
        <w:t xml:space="preserve"> </w:t>
      </w:r>
      <w:r w:rsidR="00830CD0">
        <w:rPr>
          <w:rFonts w:ascii="Times New Roman" w:hAnsi="Times New Roman" w:cs="Times New Roman"/>
        </w:rPr>
        <w:t xml:space="preserve">jeden kus pečiva a pod.). Ak by sa v praxi mal zaužívať tento systém grafického označovania potravín, je nevyhnutné pri ostatných výrobkoch zadefinovať veľkosť porcie (napr. syry, mäsové výrobky a pod.). </w:t>
      </w:r>
      <w:r w:rsidR="00DF58D9">
        <w:rPr>
          <w:rFonts w:ascii="Times New Roman" w:hAnsi="Times New Roman" w:cs="Times New Roman"/>
        </w:rPr>
        <w:t>Nevýhodou tohto systému je, že neumožňuje spotrebiteľom vzájomne porovnávať potraviny v rámci rovnakej kategórie. Napríklad jogurty sa líšia veľkosťou balenia (veľkosť porcie je 125 g až 180 g), obsahom tuku, cukrov či bielkovín a teda aj energetickou hodnotou. Rovnako tak aj referenčný príjem priemerného spotrebiteľa nemusí korešpondovať k potrebám jedinca. Na druhú stranu, tento systém nie je diskriminačný k potravinám s vyšším obsahom živín, ktoré by sme mali konzumovať v menšej miere. Plne nabitá batéria spotrebiteľa upozorní, aby v rámci dňa už danú živinu v rámci možností neprijímal.</w:t>
      </w:r>
    </w:p>
    <w:p w14:paraId="59CA18A7" w14:textId="32485B52" w:rsidR="007E7B63" w:rsidRDefault="007E7B63" w:rsidP="00B10953">
      <w:pPr>
        <w:spacing w:line="360" w:lineRule="auto"/>
        <w:rPr>
          <w:rFonts w:ascii="Times New Roman" w:hAnsi="Times New Roman" w:cs="Times New Roman"/>
        </w:rPr>
      </w:pPr>
    </w:p>
    <w:p w14:paraId="184F4BAF" w14:textId="041C10BF" w:rsidR="000A16E6" w:rsidRPr="000A16E6" w:rsidRDefault="000A16E6" w:rsidP="000A16E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A16E6">
        <w:rPr>
          <w:rFonts w:ascii="Times New Roman" w:hAnsi="Times New Roman" w:cs="Times New Roman"/>
        </w:rPr>
        <w:t xml:space="preserve">vedené systémy grafického označovania potravín </w:t>
      </w:r>
      <w:r>
        <w:rPr>
          <w:rFonts w:ascii="Times New Roman" w:hAnsi="Times New Roman" w:cs="Times New Roman"/>
        </w:rPr>
        <w:t xml:space="preserve">na prednej strane obalu </w:t>
      </w:r>
      <w:r w:rsidRPr="000A16E6">
        <w:rPr>
          <w:rFonts w:ascii="Times New Roman" w:hAnsi="Times New Roman" w:cs="Times New Roman"/>
        </w:rPr>
        <w:t>berú do úvahy iba výživové údaje</w:t>
      </w:r>
      <w:r>
        <w:rPr>
          <w:rFonts w:ascii="Times New Roman" w:hAnsi="Times New Roman" w:cs="Times New Roman"/>
        </w:rPr>
        <w:t xml:space="preserve">. </w:t>
      </w:r>
      <w:r w:rsidR="0039557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 etiketách potravinárskych výrobkov sa nachádzajú aj iné, nemenej dôležité údaje. </w:t>
      </w:r>
      <w:r w:rsidR="0039557E">
        <w:rPr>
          <w:rFonts w:ascii="Times New Roman" w:hAnsi="Times New Roman" w:cs="Times New Roman"/>
        </w:rPr>
        <w:t xml:space="preserve">Uvedomelý výber potravín by mal zahŕňať </w:t>
      </w:r>
      <w:r>
        <w:rPr>
          <w:rFonts w:ascii="Times New Roman" w:hAnsi="Times New Roman" w:cs="Times New Roman"/>
        </w:rPr>
        <w:t xml:space="preserve">aj </w:t>
      </w:r>
      <w:r w:rsidRPr="000A16E6">
        <w:rPr>
          <w:rFonts w:ascii="Times New Roman" w:hAnsi="Times New Roman" w:cs="Times New Roman"/>
        </w:rPr>
        <w:t>ďalšie údaje</w:t>
      </w:r>
      <w:r>
        <w:rPr>
          <w:rFonts w:ascii="Times New Roman" w:hAnsi="Times New Roman" w:cs="Times New Roman"/>
        </w:rPr>
        <w:t xml:space="preserve"> – napríklad </w:t>
      </w:r>
      <w:r w:rsidRPr="000A16E6">
        <w:rPr>
          <w:rFonts w:ascii="Times New Roman" w:hAnsi="Times New Roman" w:cs="Times New Roman"/>
        </w:rPr>
        <w:t>krajina pôvodu</w:t>
      </w:r>
      <w:r>
        <w:rPr>
          <w:rFonts w:ascii="Times New Roman" w:hAnsi="Times New Roman" w:cs="Times New Roman"/>
        </w:rPr>
        <w:t xml:space="preserve"> daného produktu, jeho </w:t>
      </w:r>
      <w:r w:rsidRPr="000A16E6">
        <w:rPr>
          <w:rFonts w:ascii="Times New Roman" w:hAnsi="Times New Roman" w:cs="Times New Roman"/>
        </w:rPr>
        <w:t xml:space="preserve">zloženie výrobku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0A16E6">
        <w:rPr>
          <w:rFonts w:ascii="Times New Roman" w:hAnsi="Times New Roman" w:cs="Times New Roman"/>
        </w:rPr>
        <w:t>množstvo zložiek</w:t>
      </w:r>
      <w:r>
        <w:rPr>
          <w:rFonts w:ascii="Times New Roman" w:hAnsi="Times New Roman" w:cs="Times New Roman"/>
        </w:rPr>
        <w:t xml:space="preserve"> či </w:t>
      </w:r>
      <w:r w:rsidRPr="000A16E6">
        <w:rPr>
          <w:rFonts w:ascii="Times New Roman" w:hAnsi="Times New Roman" w:cs="Times New Roman"/>
        </w:rPr>
        <w:t>použité prídavné látky</w:t>
      </w:r>
      <w:r>
        <w:rPr>
          <w:rFonts w:ascii="Times New Roman" w:hAnsi="Times New Roman" w:cs="Times New Roman"/>
        </w:rPr>
        <w:t xml:space="preserve">) a v neposlednom rade aj </w:t>
      </w:r>
      <w:r w:rsidRPr="000A16E6">
        <w:rPr>
          <w:rFonts w:ascii="Times New Roman" w:hAnsi="Times New Roman" w:cs="Times New Roman"/>
        </w:rPr>
        <w:t>dátum spotreby</w:t>
      </w:r>
      <w:r>
        <w:rPr>
          <w:rFonts w:ascii="Times New Roman" w:hAnsi="Times New Roman" w:cs="Times New Roman"/>
        </w:rPr>
        <w:t xml:space="preserve">, resp. </w:t>
      </w:r>
      <w:r w:rsidRPr="000A16E6">
        <w:rPr>
          <w:rFonts w:ascii="Times New Roman" w:hAnsi="Times New Roman" w:cs="Times New Roman"/>
        </w:rPr>
        <w:t>dátum minimálnej trvanlivosti</w:t>
      </w:r>
      <w:r>
        <w:rPr>
          <w:rFonts w:ascii="Times New Roman" w:hAnsi="Times New Roman" w:cs="Times New Roman"/>
        </w:rPr>
        <w:t>.</w:t>
      </w:r>
    </w:p>
    <w:p w14:paraId="59F2764C" w14:textId="15853DDC" w:rsidR="000A16E6" w:rsidRDefault="000A16E6" w:rsidP="00B10953">
      <w:pPr>
        <w:spacing w:line="360" w:lineRule="auto"/>
        <w:rPr>
          <w:rFonts w:ascii="Times New Roman" w:hAnsi="Times New Roman" w:cs="Times New Roman"/>
        </w:rPr>
      </w:pPr>
    </w:p>
    <w:p w14:paraId="37E2DEAC" w14:textId="5BC7D8AD" w:rsidR="000A16E6" w:rsidRPr="0039557E" w:rsidRDefault="000A16E6" w:rsidP="0039557E">
      <w:pPr>
        <w:spacing w:line="360" w:lineRule="auto"/>
        <w:jc w:val="both"/>
        <w:rPr>
          <w:rFonts w:ascii="Times New Roman" w:hAnsi="Times New Roman" w:cs="Times New Roman"/>
        </w:rPr>
      </w:pPr>
      <w:r w:rsidRPr="0039557E">
        <w:rPr>
          <w:rFonts w:ascii="Times New Roman" w:hAnsi="Times New Roman" w:cs="Times New Roman"/>
        </w:rPr>
        <w:t xml:space="preserve">Zámerom Európskej komisie je zaviesť dobrovoľné, avšak jednotné označenie výživovej hodnoty na prednej strane obalu v rámci celej Európy. </w:t>
      </w:r>
      <w:r w:rsidR="0039557E" w:rsidRPr="0039557E">
        <w:rPr>
          <w:rFonts w:ascii="Times New Roman" w:hAnsi="Times New Roman" w:cs="Times New Roman"/>
        </w:rPr>
        <w:t xml:space="preserve">Európska komisia požiadala v tejto veci Európsky úrad pre bezpečnosť potravín (EFSA) o vydanie vedeckého. Do úvahy sa budú brať určite vyššie spomínané systémy, ale je možné, že bude potrebný sofistikovanejší nástroj na zhodnotenie nutričného profilu potravín, ktorý nebude znevýhodňovať </w:t>
      </w:r>
      <w:r w:rsidR="0039557E">
        <w:rPr>
          <w:rFonts w:ascii="Times New Roman" w:hAnsi="Times New Roman" w:cs="Times New Roman"/>
        </w:rPr>
        <w:t>niektorú</w:t>
      </w:r>
      <w:r w:rsidR="0039557E" w:rsidRPr="0039557E">
        <w:rPr>
          <w:rFonts w:ascii="Times New Roman" w:hAnsi="Times New Roman" w:cs="Times New Roman"/>
        </w:rPr>
        <w:t xml:space="preserve"> skupinu produktov, bude ľahko zrozumiteľný spotrebiteľom a najmä prispeje k zdravšiemu stravovaniu obyvateľstva. Rovnako tak je dôležitá </w:t>
      </w:r>
      <w:r w:rsidRPr="0039557E">
        <w:rPr>
          <w:rFonts w:ascii="Times New Roman" w:hAnsi="Times New Roman" w:cs="Times New Roman"/>
        </w:rPr>
        <w:t xml:space="preserve">aj pravidelná edukácia spotrebiteľa o zdravom stravovaní, vrátane detí a tínedžerov.  </w:t>
      </w:r>
    </w:p>
    <w:p w14:paraId="6F39EED1" w14:textId="77777777" w:rsidR="000A16E6" w:rsidRDefault="000A16E6" w:rsidP="00B10953">
      <w:pPr>
        <w:spacing w:line="360" w:lineRule="auto"/>
        <w:rPr>
          <w:rFonts w:ascii="Times New Roman" w:hAnsi="Times New Roman" w:cs="Times New Roman"/>
        </w:rPr>
      </w:pPr>
    </w:p>
    <w:p w14:paraId="7DDF3A07" w14:textId="4F23FFCB" w:rsidR="007E7B63" w:rsidRDefault="007E7B63" w:rsidP="00B109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Odkazy:</w:t>
      </w:r>
    </w:p>
    <w:p w14:paraId="4B35A139" w14:textId="77777777" w:rsidR="00AF7CB9" w:rsidRPr="009E4E7D" w:rsidRDefault="00AF7CB9" w:rsidP="00AF7CB9">
      <w:pPr>
        <w:spacing w:line="360" w:lineRule="auto"/>
        <w:jc w:val="both"/>
        <w:rPr>
          <w:rFonts w:ascii="Times New Roman" w:hAnsi="Times New Roman" w:cs="Times New Roman"/>
        </w:rPr>
      </w:pPr>
      <w:r w:rsidRPr="009E4E7D">
        <w:rPr>
          <w:rFonts w:ascii="Times New Roman" w:hAnsi="Times New Roman" w:cs="Times New Roman"/>
        </w:rPr>
        <w:t xml:space="preserve">NARIADENIE EURÓPSKEHO PARLAMENTU A RADY (ES) </w:t>
      </w:r>
      <w:r w:rsidRPr="00A34CF6">
        <w:rPr>
          <w:rFonts w:ascii="Times New Roman" w:hAnsi="Times New Roman" w:cs="Times New Roman"/>
        </w:rPr>
        <w:t>č. 1169/2011</w:t>
      </w:r>
      <w:r>
        <w:rPr>
          <w:rFonts w:ascii="Times New Roman" w:hAnsi="Times New Roman" w:cs="Times New Roman"/>
        </w:rPr>
        <w:t xml:space="preserve"> </w:t>
      </w:r>
      <w:r w:rsidRPr="00A34CF6">
        <w:rPr>
          <w:rFonts w:ascii="Times New Roman" w:hAnsi="Times New Roman" w:cs="Times New Roman"/>
        </w:rPr>
        <w:t xml:space="preserve">z 25. októbra </w:t>
      </w:r>
      <w:r w:rsidRPr="009E4E7D">
        <w:rPr>
          <w:rFonts w:ascii="Times New Roman" w:hAnsi="Times New Roman" w:cs="Times New Roman"/>
        </w:rPr>
        <w:t>2011 o poskytovaní informácií o potravinách spotrebiteľom</w:t>
      </w:r>
    </w:p>
    <w:p w14:paraId="3318F4CD" w14:textId="0ABC34D6" w:rsidR="007E7B63" w:rsidRPr="00A06121" w:rsidRDefault="007E7B63" w:rsidP="00B10953">
      <w:pPr>
        <w:spacing w:line="360" w:lineRule="auto"/>
        <w:rPr>
          <w:rFonts w:ascii="Times New Roman" w:hAnsi="Times New Roman" w:cs="Times New Roman"/>
        </w:rPr>
      </w:pPr>
    </w:p>
    <w:sectPr w:rsidR="007E7B63" w:rsidRPr="00A0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287"/>
    <w:multiLevelType w:val="hybridMultilevel"/>
    <w:tmpl w:val="56383CF8"/>
    <w:lvl w:ilvl="0" w:tplc="7DFA5A4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4CADD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1830E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0A872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E8BDE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94E84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A2266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44B10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AEC91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CB330EB"/>
    <w:multiLevelType w:val="hybridMultilevel"/>
    <w:tmpl w:val="E1F8A350"/>
    <w:lvl w:ilvl="0" w:tplc="B576233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5A12A6"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056C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001DC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F0A85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E4772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A8C71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00E7B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7CDAE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B8A0C36"/>
    <w:multiLevelType w:val="hybridMultilevel"/>
    <w:tmpl w:val="472E37A4"/>
    <w:lvl w:ilvl="0" w:tplc="21FACB9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2C1360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2C19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6C1CB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F2A7A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60F07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18186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831D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0E413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C223D0E"/>
    <w:multiLevelType w:val="hybridMultilevel"/>
    <w:tmpl w:val="F43080E0"/>
    <w:lvl w:ilvl="0" w:tplc="97A4F7F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84AC54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0F3A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8E954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7CFAD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1EEA3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A2FD4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C068F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02E20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D0B7ED7"/>
    <w:multiLevelType w:val="hybridMultilevel"/>
    <w:tmpl w:val="81DEBB64"/>
    <w:lvl w:ilvl="0" w:tplc="72D86CD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B2CDE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EC389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A9A8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2A1ED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94C24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80DC1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A24BA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541D1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21"/>
    <w:rsid w:val="000A16E6"/>
    <w:rsid w:val="000B7834"/>
    <w:rsid w:val="000D0E60"/>
    <w:rsid w:val="001867CC"/>
    <w:rsid w:val="001F43FE"/>
    <w:rsid w:val="002C3243"/>
    <w:rsid w:val="0039557E"/>
    <w:rsid w:val="003E5B9E"/>
    <w:rsid w:val="00406CD2"/>
    <w:rsid w:val="00422922"/>
    <w:rsid w:val="00422967"/>
    <w:rsid w:val="00457B0C"/>
    <w:rsid w:val="004A4924"/>
    <w:rsid w:val="006840CB"/>
    <w:rsid w:val="006B6DAC"/>
    <w:rsid w:val="00774ACD"/>
    <w:rsid w:val="007E7B63"/>
    <w:rsid w:val="00830CD0"/>
    <w:rsid w:val="008F248C"/>
    <w:rsid w:val="00A06121"/>
    <w:rsid w:val="00A34CF6"/>
    <w:rsid w:val="00AB33E9"/>
    <w:rsid w:val="00AF7CB9"/>
    <w:rsid w:val="00B10953"/>
    <w:rsid w:val="00CD4DE8"/>
    <w:rsid w:val="00CE71C3"/>
    <w:rsid w:val="00D6563D"/>
    <w:rsid w:val="00DF58D9"/>
    <w:rsid w:val="00E14A3D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6A31"/>
  <w15:chartTrackingRefBased/>
  <w15:docId w15:val="{5A0F28EE-332D-C14F-9D82-159B973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67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2C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1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6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2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5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Bartosova Lenka, RNDr. PhD.</cp:lastModifiedBy>
  <cp:revision>5</cp:revision>
  <dcterms:created xsi:type="dcterms:W3CDTF">2021-11-21T09:37:00Z</dcterms:created>
  <dcterms:modified xsi:type="dcterms:W3CDTF">2021-11-25T11:41:00Z</dcterms:modified>
</cp:coreProperties>
</file>