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1825" w14:textId="77777777" w:rsidR="005F3F7F" w:rsidRPr="005F3F7F" w:rsidRDefault="002C7D38" w:rsidP="005F3F7F">
      <w:pPr>
        <w:spacing w:line="360" w:lineRule="auto"/>
        <w:jc w:val="center"/>
        <w:rPr>
          <w:rFonts w:ascii="Times New Roman" w:eastAsiaTheme="majorEastAsia" w:hAnsi="Times New Roman" w:cs="Times New Roman"/>
          <w:b/>
          <w:bCs/>
          <w:kern w:val="24"/>
          <w:sz w:val="24"/>
          <w:szCs w:val="24"/>
        </w:rPr>
      </w:pPr>
      <w:r w:rsidRPr="008B3C72">
        <w:rPr>
          <w:rFonts w:ascii="Times New Roman" w:eastAsiaTheme="majorEastAsia" w:hAnsi="Times New Roman" w:cs="Times New Roman"/>
          <w:b/>
          <w:bCs/>
          <w:kern w:val="24"/>
          <w:sz w:val="24"/>
          <w:szCs w:val="24"/>
        </w:rPr>
        <w:br/>
      </w:r>
      <w:r w:rsidR="005F3F7F" w:rsidRPr="005F3F7F">
        <w:rPr>
          <w:rFonts w:ascii="Times New Roman" w:eastAsiaTheme="majorEastAsia" w:hAnsi="Times New Roman" w:cs="Times New Roman"/>
          <w:b/>
          <w:bCs/>
          <w:kern w:val="24"/>
          <w:sz w:val="24"/>
          <w:szCs w:val="24"/>
        </w:rPr>
        <w:t xml:space="preserve">I. Zeleninárstvo a zemiakarstvo v Strategickom pláne Spoločnej poľnohospodárskej politiky 2023-2027 - ako využiť ponúkané možnosti. </w:t>
      </w:r>
    </w:p>
    <w:p w14:paraId="58F71FAD" w14:textId="77777777" w:rsidR="005F3F7F" w:rsidRPr="005F3F7F" w:rsidRDefault="005F3F7F" w:rsidP="005F3F7F">
      <w:pPr>
        <w:spacing w:line="360" w:lineRule="auto"/>
        <w:jc w:val="center"/>
        <w:rPr>
          <w:rFonts w:ascii="Times New Roman" w:eastAsiaTheme="majorEastAsia" w:hAnsi="Times New Roman" w:cs="Times New Roman"/>
          <w:b/>
          <w:bCs/>
          <w:kern w:val="24"/>
          <w:sz w:val="24"/>
          <w:szCs w:val="24"/>
        </w:rPr>
      </w:pPr>
      <w:r w:rsidRPr="005F3F7F">
        <w:rPr>
          <w:rFonts w:ascii="Times New Roman" w:eastAsiaTheme="majorEastAsia" w:hAnsi="Times New Roman" w:cs="Times New Roman"/>
          <w:b/>
          <w:bCs/>
          <w:kern w:val="24"/>
          <w:sz w:val="24"/>
          <w:szCs w:val="24"/>
        </w:rPr>
        <w:t xml:space="preserve">II. Aktuálne trendy v zeleninárstve a zemiakarstve, umiestňovanie slovenskej zeleniny a zemiakov na trhu - možnosti odbytu, obchodné a marketingové stratégie. </w:t>
      </w:r>
    </w:p>
    <w:p w14:paraId="6CBC1DBD" w14:textId="1B8720B1" w:rsidR="008B3C72" w:rsidRDefault="005F3F7F" w:rsidP="005F3F7F">
      <w:pPr>
        <w:spacing w:line="360" w:lineRule="auto"/>
        <w:jc w:val="center"/>
        <w:rPr>
          <w:rFonts w:ascii="Times New Roman" w:eastAsiaTheme="majorEastAsia" w:hAnsi="Times New Roman" w:cs="Times New Roman"/>
          <w:b/>
          <w:bCs/>
          <w:kern w:val="24"/>
          <w:sz w:val="24"/>
          <w:szCs w:val="24"/>
        </w:rPr>
      </w:pPr>
      <w:r w:rsidRPr="005F3F7F">
        <w:rPr>
          <w:rFonts w:ascii="Times New Roman" w:eastAsiaTheme="majorEastAsia" w:hAnsi="Times New Roman" w:cs="Times New Roman"/>
          <w:b/>
          <w:bCs/>
          <w:kern w:val="24"/>
          <w:sz w:val="24"/>
          <w:szCs w:val="24"/>
        </w:rPr>
        <w:t>III. Kvalita zeleniny a zemiakov.</w:t>
      </w:r>
    </w:p>
    <w:p w14:paraId="6BCEB04D" w14:textId="2E6498BE" w:rsidR="000C3034" w:rsidRDefault="008B3C72" w:rsidP="008B3C72">
      <w:pPr>
        <w:spacing w:line="360" w:lineRule="auto"/>
        <w:jc w:val="center"/>
        <w:rPr>
          <w:rFonts w:ascii="Times New Roman" w:eastAsiaTheme="majorEastAsia" w:hAnsi="Times New Roman" w:cs="Times New Roman"/>
          <w:b/>
          <w:bCs/>
          <w:kern w:val="24"/>
          <w:sz w:val="24"/>
          <w:szCs w:val="24"/>
        </w:rPr>
      </w:pPr>
      <w:r w:rsidRPr="008B3C72">
        <w:rPr>
          <w:rFonts w:ascii="Times New Roman" w:eastAsiaTheme="majorEastAsia" w:hAnsi="Times New Roman" w:cs="Times New Roman"/>
          <w:b/>
          <w:bCs/>
          <w:kern w:val="24"/>
          <w:sz w:val="24"/>
          <w:szCs w:val="24"/>
        </w:rPr>
        <w:t xml:space="preserve"> Ing. Jozef Šumichrast, PhD.</w:t>
      </w:r>
    </w:p>
    <w:p w14:paraId="64448CBC" w14:textId="77777777" w:rsidR="005F3F7F" w:rsidRPr="008B3C72" w:rsidRDefault="005F3F7F" w:rsidP="008B3C72">
      <w:pPr>
        <w:spacing w:line="360" w:lineRule="auto"/>
        <w:jc w:val="center"/>
        <w:rPr>
          <w:rFonts w:ascii="Times New Roman" w:eastAsiaTheme="majorEastAsia" w:hAnsi="Times New Roman" w:cs="Times New Roman"/>
          <w:b/>
          <w:bCs/>
          <w:kern w:val="24"/>
          <w:sz w:val="24"/>
          <w:szCs w:val="24"/>
        </w:rPr>
      </w:pPr>
    </w:p>
    <w:p w14:paraId="337A969B" w14:textId="4F97CEF6" w:rsidR="002C7D38" w:rsidRDefault="005F3F7F" w:rsidP="00A46684">
      <w:pPr>
        <w:spacing w:line="360" w:lineRule="auto"/>
        <w:jc w:val="both"/>
        <w:rPr>
          <w:rFonts w:ascii="Times New Roman" w:eastAsiaTheme="majorEastAsia" w:hAnsi="Times New Roman" w:cs="Times New Roman"/>
          <w:b/>
          <w:bCs/>
          <w:kern w:val="24"/>
          <w:sz w:val="24"/>
          <w:szCs w:val="24"/>
        </w:rPr>
      </w:pPr>
      <w:r w:rsidRPr="005F3F7F">
        <w:rPr>
          <w:rFonts w:ascii="Times New Roman" w:eastAsiaTheme="majorEastAsia" w:hAnsi="Times New Roman" w:cs="Times New Roman"/>
          <w:b/>
          <w:bCs/>
          <w:kern w:val="24"/>
          <w:sz w:val="24"/>
          <w:szCs w:val="24"/>
        </w:rPr>
        <w:t>I. Zeleninárstvo a</w:t>
      </w:r>
      <w:r>
        <w:rPr>
          <w:rFonts w:ascii="Times New Roman" w:eastAsiaTheme="majorEastAsia" w:hAnsi="Times New Roman" w:cs="Times New Roman"/>
          <w:b/>
          <w:bCs/>
          <w:kern w:val="24"/>
          <w:sz w:val="24"/>
          <w:szCs w:val="24"/>
        </w:rPr>
        <w:t> </w:t>
      </w:r>
      <w:r w:rsidRPr="005F3F7F">
        <w:rPr>
          <w:rFonts w:ascii="Times New Roman" w:eastAsiaTheme="majorEastAsia" w:hAnsi="Times New Roman" w:cs="Times New Roman"/>
          <w:b/>
          <w:bCs/>
          <w:kern w:val="24"/>
          <w:sz w:val="24"/>
          <w:szCs w:val="24"/>
        </w:rPr>
        <w:t>zemiakarstvo</w:t>
      </w:r>
      <w:r>
        <w:rPr>
          <w:rFonts w:ascii="Times New Roman" w:eastAsiaTheme="majorEastAsia" w:hAnsi="Times New Roman" w:cs="Times New Roman"/>
          <w:b/>
          <w:bCs/>
          <w:kern w:val="24"/>
          <w:sz w:val="24"/>
          <w:szCs w:val="24"/>
        </w:rPr>
        <w:t xml:space="preserve"> </w:t>
      </w:r>
      <w:r w:rsidRPr="005F3F7F">
        <w:rPr>
          <w:rFonts w:ascii="Times New Roman" w:eastAsiaTheme="majorEastAsia" w:hAnsi="Times New Roman" w:cs="Times New Roman"/>
          <w:b/>
          <w:bCs/>
          <w:kern w:val="24"/>
          <w:sz w:val="24"/>
          <w:szCs w:val="24"/>
        </w:rPr>
        <w:t>v Strategickom pláne Spoločnej poľnohospodárskej politiky 2023-2027</w:t>
      </w:r>
    </w:p>
    <w:p w14:paraId="0DEB8950" w14:textId="1DB39BF5" w:rsidR="005F3F7F" w:rsidRDefault="005F3F7F" w:rsidP="00A46684">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Jednou z hlavných výziev slovenského poľnohospodárstva je zabezpečenie zdravých a kvalitných potravín za primerané ceny, pričom je potrebné zvrátiť výrazný pokles produkcie zeleniny a zemiakov vytvoriť tak predpoklady pre udržateľné hospodárenie a zabezpečenie diverzifikovanej stravy pre spotrebiteľov. Cieľom Slovenska je podporiť konkurencieschopnosť sektora a s tým súvisiaci rast produktivity poľnohospodárstva a potravinárstva a dosiahnutie vyššej miery potravinovej bezpečnosti s ohľadom na zlepšenie environmentálnych dopadov.</w:t>
      </w:r>
    </w:p>
    <w:p w14:paraId="76DAA3C7"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Podporné schémy v zeleninárstve a zemiakarstve od roku 2023 vychádzajú z aktuálnej verzie Strategického plánu SPP 2023 – 2027 (t.j. k 20.10.2022).</w:t>
      </w:r>
    </w:p>
    <w:p w14:paraId="3CC9EDEC"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Priame podpory (priame platby a vybrané opatrenia programu rozvoja vidieka)</w:t>
      </w:r>
    </w:p>
    <w:p w14:paraId="45046CB2" w14:textId="77F5559B" w:rsidR="005F3F7F" w:rsidRPr="005F3F7F" w:rsidRDefault="005F3F7F" w:rsidP="005F3F7F">
      <w:pPr>
        <w:spacing w:line="360" w:lineRule="auto"/>
        <w:jc w:val="both"/>
        <w:rPr>
          <w:rFonts w:ascii="Times New Roman" w:eastAsiaTheme="majorEastAsia" w:hAnsi="Times New Roman" w:cs="Times New Roman"/>
          <w:b/>
          <w:bCs/>
          <w:kern w:val="24"/>
          <w:sz w:val="24"/>
          <w:szCs w:val="24"/>
        </w:rPr>
      </w:pPr>
      <w:r w:rsidRPr="005F3F7F">
        <w:rPr>
          <w:rFonts w:ascii="Times New Roman" w:eastAsiaTheme="majorEastAsia" w:hAnsi="Times New Roman" w:cs="Times New Roman"/>
          <w:b/>
          <w:bCs/>
          <w:kern w:val="24"/>
          <w:sz w:val="24"/>
          <w:szCs w:val="24"/>
        </w:rPr>
        <w:t xml:space="preserve">1. Priame podpory </w:t>
      </w:r>
    </w:p>
    <w:p w14:paraId="55CAC25A" w14:textId="77777777" w:rsidR="005F3F7F" w:rsidRPr="005F3F7F" w:rsidRDefault="005F3F7F" w:rsidP="005F3F7F">
      <w:pPr>
        <w:spacing w:line="360" w:lineRule="auto"/>
        <w:jc w:val="both"/>
        <w:rPr>
          <w:rFonts w:ascii="Times New Roman" w:eastAsiaTheme="majorEastAsia" w:hAnsi="Times New Roman" w:cs="Times New Roman"/>
          <w:b/>
          <w:bCs/>
          <w:kern w:val="24"/>
          <w:sz w:val="24"/>
          <w:szCs w:val="24"/>
        </w:rPr>
      </w:pPr>
      <w:r w:rsidRPr="005F3F7F">
        <w:rPr>
          <w:rFonts w:ascii="Times New Roman" w:eastAsiaTheme="majorEastAsia" w:hAnsi="Times New Roman" w:cs="Times New Roman"/>
          <w:b/>
          <w:bCs/>
          <w:kern w:val="24"/>
          <w:sz w:val="24"/>
          <w:szCs w:val="24"/>
        </w:rPr>
        <w:t>2. Produktívne investície</w:t>
      </w:r>
    </w:p>
    <w:p w14:paraId="0E72C360" w14:textId="232F4CB7" w:rsidR="005F3F7F" w:rsidRPr="005F3F7F" w:rsidRDefault="005F3F7F" w:rsidP="005F3F7F">
      <w:pPr>
        <w:spacing w:line="360" w:lineRule="auto"/>
        <w:jc w:val="both"/>
        <w:rPr>
          <w:rFonts w:ascii="Times New Roman" w:eastAsiaTheme="majorEastAsia" w:hAnsi="Times New Roman" w:cs="Times New Roman"/>
          <w:b/>
          <w:bCs/>
          <w:kern w:val="24"/>
          <w:sz w:val="24"/>
          <w:szCs w:val="24"/>
        </w:rPr>
      </w:pPr>
      <w:r w:rsidRPr="005F3F7F">
        <w:rPr>
          <w:rFonts w:ascii="Times New Roman" w:eastAsiaTheme="majorEastAsia" w:hAnsi="Times New Roman" w:cs="Times New Roman"/>
          <w:b/>
          <w:bCs/>
          <w:kern w:val="24"/>
          <w:sz w:val="24"/>
          <w:szCs w:val="24"/>
        </w:rPr>
        <w:t>3. Sektorové intervencie</w:t>
      </w:r>
    </w:p>
    <w:p w14:paraId="5E33A2F1" w14:textId="77777777" w:rsidR="005F3F7F" w:rsidRDefault="005F3F7F" w:rsidP="005F3F7F">
      <w:pPr>
        <w:spacing w:line="360" w:lineRule="auto"/>
        <w:jc w:val="both"/>
        <w:rPr>
          <w:rFonts w:ascii="Times New Roman" w:eastAsiaTheme="majorEastAsia" w:hAnsi="Times New Roman" w:cs="Times New Roman"/>
          <w:b/>
          <w:bCs/>
          <w:kern w:val="24"/>
          <w:sz w:val="24"/>
          <w:szCs w:val="24"/>
        </w:rPr>
      </w:pPr>
    </w:p>
    <w:p w14:paraId="4164E3D7" w14:textId="56859861" w:rsidR="005F3F7F" w:rsidRPr="005F3F7F" w:rsidRDefault="005F3F7F" w:rsidP="005F3F7F">
      <w:pPr>
        <w:spacing w:line="360" w:lineRule="auto"/>
        <w:jc w:val="both"/>
        <w:rPr>
          <w:rFonts w:ascii="Times New Roman" w:eastAsiaTheme="majorEastAsia" w:hAnsi="Times New Roman" w:cs="Times New Roman"/>
          <w:b/>
          <w:bCs/>
          <w:kern w:val="24"/>
          <w:sz w:val="24"/>
          <w:szCs w:val="24"/>
        </w:rPr>
      </w:pPr>
      <w:r w:rsidRPr="005F3F7F">
        <w:rPr>
          <w:rFonts w:ascii="Times New Roman" w:eastAsiaTheme="majorEastAsia" w:hAnsi="Times New Roman" w:cs="Times New Roman"/>
          <w:b/>
          <w:bCs/>
          <w:kern w:val="24"/>
          <w:sz w:val="24"/>
          <w:szCs w:val="24"/>
        </w:rPr>
        <w:t>1. Priame podpory</w:t>
      </w:r>
    </w:p>
    <w:p w14:paraId="70BAC787"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 xml:space="preserve">Slovenskí pestovatelia zeleniny môžu každoročne žiadať o priame podpory. Podmienky upravuje legislatíva EÚ a SR. Informácie, legislatívu, formuláre a príručku pre žiadateľa uverejňuje Pôdohospodárska platobná agentúra (APA) na internetovej stránke www.apa.sk . </w:t>
      </w:r>
      <w:r w:rsidRPr="005F3F7F">
        <w:rPr>
          <w:rFonts w:ascii="Times New Roman" w:eastAsiaTheme="majorEastAsia" w:hAnsi="Times New Roman" w:cs="Times New Roman"/>
          <w:kern w:val="24"/>
          <w:sz w:val="24"/>
          <w:szCs w:val="24"/>
        </w:rPr>
        <w:lastRenderedPageBreak/>
        <w:t>Informácie je možné vyhľadať aj na stránke Ministerstva pôdohospodárstva a rozvoja vidieka SR (MPRV SR) www.mpsr.sk .</w:t>
      </w:r>
    </w:p>
    <w:p w14:paraId="689ED2BB" w14:textId="51650C7E" w:rsid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Priame podpory sa vyplácajú zo štátneho rozpočtu SR a refundujú z rozpočtu EÚ.</w:t>
      </w:r>
    </w:p>
    <w:p w14:paraId="3AADE0AC"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 xml:space="preserve">Formy podpory: </w:t>
      </w:r>
    </w:p>
    <w:p w14:paraId="3B91026C" w14:textId="77777777" w:rsidR="005F3F7F" w:rsidRPr="005F3F7F" w:rsidRDefault="005F3F7F" w:rsidP="005F3F7F">
      <w:pPr>
        <w:spacing w:line="360" w:lineRule="auto"/>
        <w:jc w:val="both"/>
        <w:rPr>
          <w:rFonts w:ascii="Times New Roman" w:eastAsiaTheme="majorEastAsia" w:hAnsi="Times New Roman" w:cs="Times New Roman"/>
          <w:b/>
          <w:bCs/>
          <w:kern w:val="24"/>
          <w:sz w:val="24"/>
          <w:szCs w:val="24"/>
        </w:rPr>
      </w:pPr>
      <w:r w:rsidRPr="005F3F7F">
        <w:rPr>
          <w:rFonts w:ascii="Times New Roman" w:eastAsiaTheme="majorEastAsia" w:hAnsi="Times New Roman" w:cs="Times New Roman"/>
          <w:kern w:val="24"/>
          <w:sz w:val="24"/>
          <w:szCs w:val="24"/>
        </w:rPr>
        <w:t xml:space="preserve"> </w:t>
      </w:r>
      <w:r w:rsidRPr="005F3F7F">
        <w:rPr>
          <w:rFonts w:ascii="Times New Roman" w:eastAsiaTheme="majorEastAsia" w:hAnsi="Times New Roman" w:cs="Times New Roman"/>
          <w:b/>
          <w:bCs/>
          <w:kern w:val="24"/>
          <w:sz w:val="24"/>
          <w:szCs w:val="24"/>
        </w:rPr>
        <w:t>1. Priame podpory – I. pilier, Oddelené priame platby</w:t>
      </w:r>
    </w:p>
    <w:p w14:paraId="4516BE34"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 základná podpora príjmu v záujme udržateľnosti BISS (po starom SAPS)</w:t>
      </w:r>
      <w:r w:rsidRPr="005F3F7F">
        <w:rPr>
          <w:rFonts w:ascii="Times New Roman" w:eastAsiaTheme="majorEastAsia" w:hAnsi="Times New Roman" w:cs="Times New Roman"/>
          <w:kern w:val="24"/>
          <w:sz w:val="24"/>
          <w:szCs w:val="24"/>
        </w:rPr>
        <w:tab/>
        <w:t xml:space="preserve"> 101 EUR/ha</w:t>
      </w:r>
    </w:p>
    <w:p w14:paraId="148BA9FC"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 komplementárna redistributívna podpora príjmu 80 EUR/ha na prvých 100 ha, 40 EUR/ha na 101-150 ha</w:t>
      </w:r>
    </w:p>
    <w:p w14:paraId="4D04DAE6"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 komplementárna podpora príjmu pre mladých poľnohospodárov 100 EUR/ha na prvých 100 ha</w:t>
      </w:r>
    </w:p>
    <w:p w14:paraId="03EF6E64" w14:textId="46CB62E2" w:rsid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 ekoschémy -  režimy v záujme klímy, životného prostredia a dobrých životných podmienok zvierat, v CHVÚ 92 EUR/ha, mimo CHVÚ 59 EUR/ha</w:t>
      </w:r>
    </w:p>
    <w:p w14:paraId="12BC6D8B" w14:textId="77777777" w:rsidR="005F3F7F" w:rsidRPr="005F3F7F" w:rsidRDefault="005F3F7F" w:rsidP="005F3F7F">
      <w:pPr>
        <w:spacing w:line="360" w:lineRule="auto"/>
        <w:jc w:val="both"/>
        <w:rPr>
          <w:rFonts w:ascii="Times New Roman" w:eastAsiaTheme="majorEastAsia" w:hAnsi="Times New Roman" w:cs="Times New Roman"/>
          <w:b/>
          <w:bCs/>
          <w:kern w:val="24"/>
          <w:sz w:val="24"/>
          <w:szCs w:val="24"/>
        </w:rPr>
      </w:pPr>
      <w:r w:rsidRPr="005F3F7F">
        <w:rPr>
          <w:rFonts w:ascii="Times New Roman" w:eastAsiaTheme="majorEastAsia" w:hAnsi="Times New Roman" w:cs="Times New Roman"/>
          <w:b/>
          <w:bCs/>
          <w:kern w:val="24"/>
          <w:sz w:val="24"/>
          <w:szCs w:val="24"/>
        </w:rPr>
        <w:t xml:space="preserve">2.  Priame podpory – I. pilier, Viazané priame platby (CIS) </w:t>
      </w:r>
    </w:p>
    <w:p w14:paraId="61C33580"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ab/>
        <w:t>Platba na pestovanie vybraných druhov zeleniny</w:t>
      </w:r>
    </w:p>
    <w:p w14:paraId="18E85EB2"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platba na pestovanie zeleniny (vybrané druhy prácnej zeleniny) 500 EUR/ha</w:t>
      </w:r>
    </w:p>
    <w:p w14:paraId="25859B6C"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platba na pestovanie zeleniny (vybrané druhy vysoko prácnej zeleniny) 745 EUR/ha</w:t>
      </w:r>
    </w:p>
    <w:p w14:paraId="039D5F82" w14:textId="72590B45" w:rsid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zemiaky nie sú podporené platbou na pestovanie vybraných druhov zeleniny.</w:t>
      </w:r>
    </w:p>
    <w:p w14:paraId="60025A75" w14:textId="77777777" w:rsidR="005F3F7F" w:rsidRPr="005F3F7F" w:rsidRDefault="005F3F7F" w:rsidP="005F3F7F">
      <w:pPr>
        <w:spacing w:line="360" w:lineRule="auto"/>
        <w:jc w:val="both"/>
        <w:rPr>
          <w:rFonts w:ascii="Times New Roman" w:eastAsiaTheme="majorEastAsia" w:hAnsi="Times New Roman" w:cs="Times New Roman"/>
          <w:b/>
          <w:bCs/>
          <w:kern w:val="24"/>
          <w:sz w:val="24"/>
          <w:szCs w:val="24"/>
        </w:rPr>
      </w:pPr>
      <w:r w:rsidRPr="005F3F7F">
        <w:rPr>
          <w:rFonts w:ascii="Times New Roman" w:eastAsiaTheme="majorEastAsia" w:hAnsi="Times New Roman" w:cs="Times New Roman"/>
          <w:b/>
          <w:bCs/>
          <w:kern w:val="24"/>
          <w:sz w:val="24"/>
          <w:szCs w:val="24"/>
        </w:rPr>
        <w:t>1. Priame podpory – II. pilier, Šetrné postupy pri pestovaní zeleniny, zemiakov a jahôd na ornej pôde</w:t>
      </w:r>
    </w:p>
    <w:p w14:paraId="5555365C"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 xml:space="preserve">  - zelenina 422 EUR/ha</w:t>
      </w:r>
    </w:p>
    <w:p w14:paraId="41134AED"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 zemiaky 310 EUR/ha</w:t>
      </w:r>
    </w:p>
    <w:p w14:paraId="1C2E4855"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 jahody 454 EUR/ha</w:t>
      </w:r>
    </w:p>
    <w:p w14:paraId="3E374411" w14:textId="77777777" w:rsidR="005F3F7F" w:rsidRPr="005F3F7F" w:rsidRDefault="005F3F7F" w:rsidP="005F3F7F">
      <w:pPr>
        <w:spacing w:line="360" w:lineRule="auto"/>
        <w:jc w:val="both"/>
        <w:rPr>
          <w:rFonts w:ascii="Times New Roman" w:eastAsiaTheme="majorEastAsia" w:hAnsi="Times New Roman" w:cs="Times New Roman"/>
          <w:b/>
          <w:bCs/>
          <w:kern w:val="24"/>
          <w:sz w:val="24"/>
          <w:szCs w:val="24"/>
        </w:rPr>
      </w:pPr>
      <w:r w:rsidRPr="005F3F7F">
        <w:rPr>
          <w:rFonts w:ascii="Times New Roman" w:eastAsiaTheme="majorEastAsia" w:hAnsi="Times New Roman" w:cs="Times New Roman"/>
          <w:b/>
          <w:bCs/>
          <w:kern w:val="24"/>
          <w:sz w:val="24"/>
          <w:szCs w:val="24"/>
        </w:rPr>
        <w:t>2.  Priame podpory – II. pilier, Ekologické poľnohospodárstvo</w:t>
      </w:r>
    </w:p>
    <w:p w14:paraId="693B11FF"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zelenina 795 EUR/ha</w:t>
      </w:r>
    </w:p>
    <w:p w14:paraId="1A2E4AF7"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zemiaky 735 EUR/ha</w:t>
      </w:r>
    </w:p>
    <w:p w14:paraId="7CFEABB6"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jahody 1111 EUR/ha</w:t>
      </w:r>
    </w:p>
    <w:p w14:paraId="5D123958" w14:textId="4AAE2903" w:rsid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lastRenderedPageBreak/>
        <w:t>-    liečive, koreninové a aromatické rastliny 417 EUR/ha</w:t>
      </w:r>
    </w:p>
    <w:p w14:paraId="16682B57" w14:textId="77777777" w:rsidR="005F3F7F" w:rsidRDefault="005F3F7F" w:rsidP="005F3F7F">
      <w:pPr>
        <w:spacing w:line="360" w:lineRule="auto"/>
        <w:jc w:val="both"/>
        <w:rPr>
          <w:rFonts w:ascii="Times New Roman" w:eastAsiaTheme="majorEastAsia" w:hAnsi="Times New Roman" w:cs="Times New Roman"/>
          <w:kern w:val="24"/>
          <w:sz w:val="24"/>
          <w:szCs w:val="24"/>
        </w:rPr>
      </w:pPr>
    </w:p>
    <w:p w14:paraId="47A3EB9C" w14:textId="35535484" w:rsidR="005F3F7F" w:rsidRDefault="005F3F7F" w:rsidP="005F3F7F">
      <w:pPr>
        <w:spacing w:line="360" w:lineRule="auto"/>
        <w:jc w:val="both"/>
        <w:rPr>
          <w:rFonts w:ascii="Times New Roman" w:eastAsiaTheme="majorEastAsia" w:hAnsi="Times New Roman" w:cs="Times New Roman"/>
          <w:b/>
          <w:bCs/>
          <w:kern w:val="24"/>
          <w:sz w:val="24"/>
          <w:szCs w:val="24"/>
        </w:rPr>
      </w:pPr>
      <w:r w:rsidRPr="005F3F7F">
        <w:rPr>
          <w:rFonts w:ascii="Times New Roman" w:eastAsiaTheme="majorEastAsia" w:hAnsi="Times New Roman" w:cs="Times New Roman"/>
          <w:b/>
          <w:bCs/>
          <w:kern w:val="24"/>
          <w:sz w:val="24"/>
          <w:szCs w:val="24"/>
        </w:rPr>
        <w:t>2. Produktívne investície</w:t>
      </w:r>
    </w:p>
    <w:p w14:paraId="6C93B572"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Produktívne investície v poľnohospodárskych podnikoch</w:t>
      </w:r>
    </w:p>
    <w:p w14:paraId="58DE105D" w14:textId="33D58086" w:rsid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Z verejných zdrojov sa použije celkovo 340 mil. EUR na 5 rokov na investície do poľnohospodárskych podnikov v oblasti prvovýroby. Dôraz bude na investície do živočíšnej výroby a špeciálnej rastlinnej výroby a spracovania vlastných produktov prvovýroby, ako aj skladovanie, súvisiaca logistika a spracovanie produkcie členov organizácií výrobcov.</w:t>
      </w:r>
    </w:p>
    <w:p w14:paraId="20B05AAA" w14:textId="12ECE5E4" w:rsid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Zo zdrojov vyčlenených na investície sa bude podstatná časť realizovať prostredníctvom finančných nástrojov vo forme kombinácie záruk a grantov. Finančná alokácia na finančné nástroje predstavuje 278,7 mil. EUR. Z toho 128,7 mil. EUR budú predstavovať granty a 150 mil. EUR záruky. Granty alebo bonifikácia úrokov podporia malých (do 100 ha) a mladých poľnohospodárov v objeme 31 mil. EUR a ostatných poľnohospodárov sumou 97,7mil. EUR. Z hľadiska zamerania bude podporená touto formou podpory špeciálna rastlinná výroba (18 mil. EUR) a živočíšna výroba (70 mil. EUR). Zvyšná časť pôjde na modernizáciu poľnohospodárstva (prierezový cieľ) a na obnoviteľné zdroje energie (76,6 mil. EUR).</w:t>
      </w:r>
    </w:p>
    <w:p w14:paraId="3D88F9C3"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 xml:space="preserve">Výhodou finančných nástrojov je ich multiplikačný efekt. Suma 150 mil. EUR záruk pri pákovom efekte 1:4 bude postačovať na úvery v odhadovanej výške 600 mil. EUR (mladí a malí 120 mil. EUR, ostatní 480 mil. EUR). Na klasické granty bude vyčlenených 61,3 mil. EUR, ktoré budú využité v záujme čo najlepšieho zacielenia podpory (napr. ochrana pred predátormi, ochrana pred mrazmi atď.). </w:t>
      </w:r>
    </w:p>
    <w:p w14:paraId="4AE276D2"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Z celkovej sumy 340 mil. EUR sa alokuje na podporu pre mladých poľnohospodárov suma 59,6 mil. EUR (z toho 16,3 mil. EUR na podporu na investície do obnoviteľných zdrojov energie), a to vo forme:</w:t>
      </w:r>
    </w:p>
    <w:p w14:paraId="6CF52CFB"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a) finančných nástrojov (záruk za úvery);</w:t>
      </w:r>
    </w:p>
    <w:p w14:paraId="14CB7918"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b) finančných nástrojov (záruk za úvery) v kombinácii s grantami alebo s bonifikáciou úrokov;</w:t>
      </w:r>
    </w:p>
    <w:p w14:paraId="253C1DC4" w14:textId="0B00EC9D" w:rsid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c) klasických investičných grantov s vyššou intenzitou pomoci (80%).</w:t>
      </w:r>
    </w:p>
    <w:p w14:paraId="3D8203A0" w14:textId="19E222EE" w:rsidR="005F3F7F" w:rsidRDefault="005F3F7F" w:rsidP="005F3F7F">
      <w:pPr>
        <w:spacing w:line="360" w:lineRule="auto"/>
        <w:jc w:val="both"/>
        <w:rPr>
          <w:rFonts w:ascii="Times New Roman" w:eastAsiaTheme="majorEastAsia" w:hAnsi="Times New Roman" w:cs="Times New Roman"/>
          <w:kern w:val="24"/>
          <w:sz w:val="24"/>
          <w:szCs w:val="24"/>
        </w:rPr>
      </w:pPr>
    </w:p>
    <w:p w14:paraId="1362D59C" w14:textId="77777777" w:rsidR="003A17DA" w:rsidRDefault="003A17DA" w:rsidP="005F3F7F">
      <w:pPr>
        <w:spacing w:line="360" w:lineRule="auto"/>
        <w:jc w:val="both"/>
        <w:rPr>
          <w:rFonts w:ascii="Times New Roman" w:eastAsiaTheme="majorEastAsia" w:hAnsi="Times New Roman" w:cs="Times New Roman"/>
          <w:kern w:val="24"/>
          <w:sz w:val="24"/>
          <w:szCs w:val="24"/>
        </w:rPr>
      </w:pPr>
    </w:p>
    <w:p w14:paraId="447FBD8C" w14:textId="48C300BB" w:rsidR="005F3F7F" w:rsidRDefault="005F3F7F" w:rsidP="005F3F7F">
      <w:pPr>
        <w:spacing w:line="360" w:lineRule="auto"/>
        <w:jc w:val="both"/>
        <w:rPr>
          <w:rFonts w:ascii="Times New Roman" w:eastAsiaTheme="majorEastAsia" w:hAnsi="Times New Roman" w:cs="Times New Roman"/>
          <w:b/>
          <w:bCs/>
          <w:kern w:val="24"/>
          <w:sz w:val="24"/>
          <w:szCs w:val="24"/>
        </w:rPr>
      </w:pPr>
      <w:r w:rsidRPr="005F3F7F">
        <w:rPr>
          <w:rFonts w:ascii="Times New Roman" w:eastAsiaTheme="majorEastAsia" w:hAnsi="Times New Roman" w:cs="Times New Roman"/>
          <w:b/>
          <w:bCs/>
          <w:kern w:val="24"/>
          <w:sz w:val="24"/>
          <w:szCs w:val="24"/>
        </w:rPr>
        <w:lastRenderedPageBreak/>
        <w:t>3. Sektorové intervencie</w:t>
      </w:r>
    </w:p>
    <w:p w14:paraId="7BFFD4AE" w14:textId="1C42B7CB" w:rsidR="00783DE5" w:rsidRDefault="00783DE5" w:rsidP="005F3F7F">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Jedným z dôležitých nástrojov na posilnenie konkurencieschopnosti sektora zeleniny a zemiakov sú sektorové intervencie. Problémom Slovenska (aj niektorých iných členských štátov EÚ) je nízka organizovanosť producentov zeleniny a zemiakov. To spôsobuje slabé postavenie pestovateľov zeleniny a zemiakov v rámci potravinovej vertikály, nízku vyjednávaciu silu pestovateľov a má aj negatívny vplyv na pridanú hodnotu prvovýrobcov. Podpora fungovania odbytových organizácií dokáže zmierniť tieto nedostatky alebo ich úplne eliminovať.</w:t>
      </w:r>
    </w:p>
    <w:p w14:paraId="44F1B64C"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Sektorové intervencie (organizácie výrobcov) (27,5 mil. EUR pre sektor ovocia a zeleniny a 25,05 mil. EUR pre ostatné sektory, z toho zemiaky 12,2 mil. EUR)</w:t>
      </w:r>
    </w:p>
    <w:p w14:paraId="07EB6498"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Na zlepšenie postavenia poľnohospodárov v hodnotovom reťazci SR využije sektorové intervencie. Tie podporia koncentráciu ponuky v sektore ovocia, zeleniny a nových sektoroch (mlieko, zemiaky, ovce a kozy).</w:t>
      </w:r>
    </w:p>
    <w:p w14:paraId="46919FEB" w14:textId="7E0B4985" w:rsid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Na nové sektory sa využije až čiastka 25,052 mil. EUR priamych platieb. Vzhľadom na postupný proces zapojenia poľnohospodárov do operačných skupín a postupného zvyšovania hodnoty trhovej produkcie bude Slovensko ročnú alokovanú čiastku postupne navyšovať. Odhad čerpania je v roku 2023 1 mil. EUR, 2024 3 mil. EUR, 2025 5,01 mil. EUR a v rokoch 2026 a 2027 8,02 mil. EUR.</w:t>
      </w:r>
    </w:p>
    <w:p w14:paraId="12106AD5" w14:textId="6D107791" w:rsidR="00783DE5" w:rsidRDefault="00783DE5" w:rsidP="00783DE5">
      <w:pPr>
        <w:spacing w:line="360" w:lineRule="auto"/>
        <w:jc w:val="both"/>
        <w:rPr>
          <w:rFonts w:ascii="Times New Roman" w:eastAsiaTheme="majorEastAsia" w:hAnsi="Times New Roman" w:cs="Times New Roman"/>
          <w:kern w:val="24"/>
          <w:sz w:val="24"/>
          <w:szCs w:val="24"/>
        </w:rPr>
      </w:pPr>
    </w:p>
    <w:p w14:paraId="2BC7DAC1" w14:textId="7A25AFCE" w:rsidR="00783DE5" w:rsidRDefault="00783DE5" w:rsidP="00783DE5">
      <w:pPr>
        <w:spacing w:line="360" w:lineRule="auto"/>
        <w:jc w:val="both"/>
        <w:rPr>
          <w:rFonts w:ascii="Times New Roman" w:eastAsiaTheme="majorEastAsia" w:hAnsi="Times New Roman" w:cs="Times New Roman"/>
          <w:b/>
          <w:bCs/>
          <w:kern w:val="24"/>
          <w:sz w:val="24"/>
          <w:szCs w:val="24"/>
        </w:rPr>
      </w:pPr>
      <w:r w:rsidRPr="00783DE5">
        <w:rPr>
          <w:rFonts w:ascii="Times New Roman" w:eastAsiaTheme="majorEastAsia" w:hAnsi="Times New Roman" w:cs="Times New Roman"/>
          <w:b/>
          <w:bCs/>
          <w:kern w:val="24"/>
          <w:sz w:val="24"/>
          <w:szCs w:val="24"/>
        </w:rPr>
        <w:t>Mladí poľnohospodári v Strategickom pláne Spoločnej poľnohospodárskej politiky 2023-2027</w:t>
      </w:r>
    </w:p>
    <w:p w14:paraId="01FBE4BD" w14:textId="6F637AE8"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Z prostriedkov SP SPP 2023-2027 Slovensko na podporu mladých poľnohospodárov vyčlení 67,2 mil.</w:t>
      </w:r>
      <w:r>
        <w:rPr>
          <w:rFonts w:ascii="Times New Roman" w:eastAsiaTheme="majorEastAsia" w:hAnsi="Times New Roman" w:cs="Times New Roman"/>
          <w:kern w:val="24"/>
          <w:sz w:val="24"/>
          <w:szCs w:val="24"/>
        </w:rPr>
        <w:t xml:space="preserve"> </w:t>
      </w:r>
      <w:r w:rsidRPr="00783DE5">
        <w:rPr>
          <w:rFonts w:ascii="Times New Roman" w:eastAsiaTheme="majorEastAsia" w:hAnsi="Times New Roman" w:cs="Times New Roman"/>
          <w:kern w:val="24"/>
          <w:sz w:val="24"/>
          <w:szCs w:val="24"/>
        </w:rPr>
        <w:t>EUR (zdroje EÚ), čo zodpovedá 3,3% jeho celkovej alokácie na priame platby. Slovensko využije na</w:t>
      </w:r>
      <w:r>
        <w:rPr>
          <w:rFonts w:ascii="Times New Roman" w:eastAsiaTheme="majorEastAsia" w:hAnsi="Times New Roman" w:cs="Times New Roman"/>
          <w:kern w:val="24"/>
          <w:sz w:val="24"/>
          <w:szCs w:val="24"/>
        </w:rPr>
        <w:t xml:space="preserve"> </w:t>
      </w:r>
      <w:r w:rsidRPr="00783DE5">
        <w:rPr>
          <w:rFonts w:ascii="Times New Roman" w:eastAsiaTheme="majorEastAsia" w:hAnsi="Times New Roman" w:cs="Times New Roman"/>
          <w:kern w:val="24"/>
          <w:sz w:val="24"/>
          <w:szCs w:val="24"/>
        </w:rPr>
        <w:t>podporu generačnej obnovy intervencie v rámci priamych platieb aj rozvoja vidieka. Podpora mladých</w:t>
      </w:r>
      <w:r>
        <w:rPr>
          <w:rFonts w:ascii="Times New Roman" w:eastAsiaTheme="majorEastAsia" w:hAnsi="Times New Roman" w:cs="Times New Roman"/>
          <w:kern w:val="24"/>
          <w:sz w:val="24"/>
          <w:szCs w:val="24"/>
        </w:rPr>
        <w:t xml:space="preserve"> </w:t>
      </w:r>
      <w:r w:rsidRPr="00783DE5">
        <w:rPr>
          <w:rFonts w:ascii="Times New Roman" w:eastAsiaTheme="majorEastAsia" w:hAnsi="Times New Roman" w:cs="Times New Roman"/>
          <w:kern w:val="24"/>
          <w:sz w:val="24"/>
          <w:szCs w:val="24"/>
        </w:rPr>
        <w:t>poľnohospodárov bude zahŕňať:</w:t>
      </w:r>
    </w:p>
    <w:p w14:paraId="3782DD6F"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1.Komplementárnu podporu príjmu pre mladých poľnohospodárov</w:t>
      </w:r>
    </w:p>
    <w:p w14:paraId="3275BCB3"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2.Podporu na usadenie mladých poľnohospodárov</w:t>
      </w:r>
    </w:p>
    <w:p w14:paraId="69D4F38B"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3.Podpora mladých poľnohospodárov prostredníctvom investícií</w:t>
      </w:r>
    </w:p>
    <w:p w14:paraId="29901781" w14:textId="27008F6E"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 xml:space="preserve">4.Podpora mladých poľnohospodárov </w:t>
      </w:r>
      <w:r w:rsidR="003A17DA" w:rsidRPr="003A17DA">
        <w:rPr>
          <w:rFonts w:ascii="Times New Roman" w:eastAsiaTheme="majorEastAsia" w:hAnsi="Times New Roman" w:cs="Times New Roman"/>
          <w:kern w:val="24"/>
          <w:sz w:val="24"/>
          <w:szCs w:val="24"/>
        </w:rPr>
        <w:t>prostredníctvom vzdelávania/poradenstva</w:t>
      </w:r>
    </w:p>
    <w:p w14:paraId="12D65DBC" w14:textId="17E27AF2"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lastRenderedPageBreak/>
        <w:t>5.Prístup mladých poľnohospodárov k pôde</w:t>
      </w:r>
    </w:p>
    <w:p w14:paraId="2DBFDFD3"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1.Komplementárna podpora príjmu pre mladých poľnohospodárov</w:t>
      </w:r>
    </w:p>
    <w:p w14:paraId="34FA6A8F"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Slovensko v období 2023-2027 poskytne komplementárnu podporu príjmu pre mladých poľnohospodárov na prvých 100 ha na úrovni 100 EUR/ha každému skutočnému mladému poľnohospodárovi. Na platbu bude mať nárok mladý poľnohospodár, ktorý začal podnikať v poľnohospodárstve prvý krát alebo založil podnik počas dvoch rokov predchádzajúcich prvému podaniu žiadosti o podporu. Podpora sa bude vyplácať maximálne 5 rokov. Na túto intervenciu Slovensko alokuje 12,2 mil. EUR.</w:t>
      </w:r>
    </w:p>
    <w:p w14:paraId="05D6BFAD"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2.Podpora na získavanie a udržanie mladých poľnohospodárov</w:t>
      </w:r>
    </w:p>
    <w:p w14:paraId="7B5E55DA" w14:textId="468FE05B" w:rsid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Slovensko podporí mladých poľnohospodárov prostredníctvom projektovej podpory paušálnou sumou v hodnote 50 000 EUR (70 000 EUR v prípade, ak podnikateľský plán bude zahŕňať aj spracovanie vlastnej produkcie mladého farmára). Projektová podpora bude viazaná na investície na farme v minimálnej miere 50% z hodnoty paušálnej sumy. Na túto intervenciu Slovensko alokuje 57 mil. EUR.</w:t>
      </w:r>
    </w:p>
    <w:p w14:paraId="35233C40"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3. Podpora mladých poľnohospodárov prostredníctvom investícií</w:t>
      </w:r>
    </w:p>
    <w:p w14:paraId="23CB294F"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Slovensko podporí konkurencieschopnosť mladých poľnohospodárov a zníži tým ich finančnú medzeru prostredníctvom grantov a finančných nástrojov. Na túto intervenciu Slovensko alokuje v rámci Strategického plánu 59,6 mil. EUR. Finančné nástroje odstránia podstatnú časť finančnej medzery mladých poľnohospodárov prostredníctvom poskytovania záruk, zvýhodnených úrokových sadzieb a aj vo forme odpustenia časti istiny. Finančné nástroje budú môcť mladí poľnohospodári použiť aj na nákup pôdy. Okrem finančných nástrojov budú investície mladých poľnohospodárov podporené investičnými grantami so zvýhodnenou intenzitou podpory.</w:t>
      </w:r>
    </w:p>
    <w:p w14:paraId="43FC8F2B"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 xml:space="preserve">4. Podpora mladých poľnohospodárov </w:t>
      </w:r>
      <w:bookmarkStart w:id="0" w:name="_Hlk120167995"/>
      <w:r w:rsidRPr="00783DE5">
        <w:rPr>
          <w:rFonts w:ascii="Times New Roman" w:eastAsiaTheme="majorEastAsia" w:hAnsi="Times New Roman" w:cs="Times New Roman"/>
          <w:kern w:val="24"/>
          <w:sz w:val="24"/>
          <w:szCs w:val="24"/>
        </w:rPr>
        <w:t>prostredníctvom vzdelávania/poradenstva</w:t>
      </w:r>
      <w:bookmarkEnd w:id="0"/>
    </w:p>
    <w:p w14:paraId="189EEDC2" w14:textId="529C7D35" w:rsid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Slovensko podporí mladých farmárov a ich konkurencieschopnosť formou vzdelávania a poradenstva zameraného na potreby mladých farmárov. Prostriedky na vzdelávanie a poradenstvo pre mladých farmárov sú alokované v rámci prierezového cieľa „Modernizácia“.</w:t>
      </w:r>
    </w:p>
    <w:p w14:paraId="1B3A982F"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5. Prístup mladých poľnohospodárov k pôde</w:t>
      </w:r>
    </w:p>
    <w:p w14:paraId="587C3D28" w14:textId="32597482" w:rsid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 xml:space="preserve">Slovensko zabezpečí lepší prístup mladých poľnohospodárov k pôde prostredníctvom pozemkových úprav. Prístup k pôde v rámci národných politík sa bude zlepšovať </w:t>
      </w:r>
      <w:r w:rsidRPr="00783DE5">
        <w:rPr>
          <w:rFonts w:ascii="Times New Roman" w:eastAsiaTheme="majorEastAsia" w:hAnsi="Times New Roman" w:cs="Times New Roman"/>
          <w:kern w:val="24"/>
          <w:sz w:val="24"/>
          <w:szCs w:val="24"/>
        </w:rPr>
        <w:lastRenderedPageBreak/>
        <w:t>prostredníctvom sfunkčnenia inštitútu prednostného prenájmu pôdy v držbe Slovenského pozemkového fondu (SPF) pre životaschopných mladých poľnohospodárov. Prístup mladých poľnohospodárov k pôde zlepšia aj finančné nástroje zamerané na podporu kúpy pôdy do vlastníctva mladých poľnohospodárov. Generačnú obnovu reflektuje ukazovateľ výsledku R.36 - Generačná obnova: Slovensko podporí mladých poľnohospodárov prostredníctvom intervencie vo forme priamych platieb: Komplementárna podpora príjmu pre mladých poľnohospodárov. Časť mladých poľnohospodárov bude podporených aj formou intervencie na rozvoj vidieka: 75.1 Získavanie mladých poľnohospodárov. Slovensko týmto spôsobom plánuje podporiť 1 000 mladých poľnohospodárov.</w:t>
      </w:r>
    </w:p>
    <w:p w14:paraId="2CD77805" w14:textId="77777777" w:rsidR="00783DE5" w:rsidRDefault="00783DE5" w:rsidP="00783DE5">
      <w:pPr>
        <w:spacing w:line="360" w:lineRule="auto"/>
        <w:jc w:val="both"/>
        <w:rPr>
          <w:rFonts w:ascii="Times New Roman" w:eastAsiaTheme="majorEastAsia" w:hAnsi="Times New Roman" w:cs="Times New Roman"/>
          <w:kern w:val="24"/>
          <w:sz w:val="24"/>
          <w:szCs w:val="24"/>
        </w:rPr>
      </w:pPr>
    </w:p>
    <w:p w14:paraId="672EB18D" w14:textId="7C5B4FC7" w:rsidR="00783DE5" w:rsidRDefault="00783DE5" w:rsidP="00783DE5">
      <w:pPr>
        <w:spacing w:line="360" w:lineRule="auto"/>
        <w:jc w:val="both"/>
        <w:rPr>
          <w:rFonts w:ascii="Times New Roman" w:eastAsiaTheme="majorEastAsia" w:hAnsi="Times New Roman" w:cs="Times New Roman"/>
          <w:b/>
          <w:bCs/>
          <w:kern w:val="24"/>
          <w:sz w:val="24"/>
          <w:szCs w:val="24"/>
        </w:rPr>
      </w:pPr>
      <w:r w:rsidRPr="00783DE5">
        <w:rPr>
          <w:rFonts w:ascii="Times New Roman" w:eastAsiaTheme="majorEastAsia" w:hAnsi="Times New Roman" w:cs="Times New Roman"/>
          <w:b/>
          <w:bCs/>
          <w:kern w:val="24"/>
          <w:sz w:val="24"/>
          <w:szCs w:val="24"/>
        </w:rPr>
        <w:t>II. Aktuálne trendy v zeleninárstve a zemiakarstve, umiestňovanie slovenskej zeleniny a zemiakov na trhu - možnosti odbytu, obchodné a marketingové stratégie.</w:t>
      </w:r>
    </w:p>
    <w:p w14:paraId="56107E3A" w14:textId="409C1D0A" w:rsidR="00783DE5" w:rsidRDefault="00783DE5" w:rsidP="00783DE5">
      <w:pPr>
        <w:spacing w:line="360" w:lineRule="auto"/>
        <w:jc w:val="center"/>
        <w:rPr>
          <w:rFonts w:ascii="Times New Roman" w:eastAsiaTheme="majorEastAsia" w:hAnsi="Times New Roman" w:cs="Times New Roman"/>
          <w:b/>
          <w:bCs/>
          <w:kern w:val="24"/>
          <w:sz w:val="24"/>
          <w:szCs w:val="24"/>
        </w:rPr>
      </w:pPr>
      <w:r w:rsidRPr="00783DE5">
        <w:rPr>
          <w:rFonts w:ascii="Times New Roman" w:eastAsiaTheme="majorEastAsia" w:hAnsi="Times New Roman" w:cs="Times New Roman"/>
          <w:b/>
          <w:bCs/>
          <w:kern w:val="24"/>
          <w:sz w:val="24"/>
          <w:szCs w:val="24"/>
        </w:rPr>
        <w:t>Aktuálne trendy v zeleninárstve a zemiakarstve</w:t>
      </w:r>
    </w:p>
    <w:p w14:paraId="0D00E5D4"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 xml:space="preserve">Trendy so všeobecnou platnosťou: </w:t>
      </w:r>
    </w:p>
    <w:p w14:paraId="767DB374"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1.</w:t>
      </w:r>
      <w:r w:rsidRPr="00783DE5">
        <w:rPr>
          <w:rFonts w:ascii="Times New Roman" w:eastAsiaTheme="majorEastAsia" w:hAnsi="Times New Roman" w:cs="Times New Roman"/>
          <w:kern w:val="24"/>
          <w:sz w:val="24"/>
          <w:szCs w:val="24"/>
        </w:rPr>
        <w:tab/>
        <w:t xml:space="preserve">Posilnenie vertikálnej a horizontálne spolupráce, a posúdenie možnosti vzniku OOV resp. medziodvetvových dohôd v zmysle platnej legislatívy </w:t>
      </w:r>
    </w:p>
    <w:p w14:paraId="4F5A673F"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2.</w:t>
      </w:r>
      <w:r w:rsidRPr="00783DE5">
        <w:rPr>
          <w:rFonts w:ascii="Times New Roman" w:eastAsiaTheme="majorEastAsia" w:hAnsi="Times New Roman" w:cs="Times New Roman"/>
          <w:kern w:val="24"/>
          <w:sz w:val="24"/>
          <w:szCs w:val="24"/>
        </w:rPr>
        <w:tab/>
        <w:t xml:space="preserve">Zriadenie fondu nepoistiteľných rizík </w:t>
      </w:r>
    </w:p>
    <w:p w14:paraId="5A37AA56"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3.</w:t>
      </w:r>
      <w:r w:rsidRPr="00783DE5">
        <w:rPr>
          <w:rFonts w:ascii="Times New Roman" w:eastAsiaTheme="majorEastAsia" w:hAnsi="Times New Roman" w:cs="Times New Roman"/>
          <w:kern w:val="24"/>
          <w:sz w:val="24"/>
          <w:szCs w:val="24"/>
        </w:rPr>
        <w:tab/>
        <w:t xml:space="preserve">Vytvorenie Investičného agrárneho fondu – bude poskytovať úver na zabezpečenie časti požadovaných vlastných zdrojov od komerčných bánk, poskytovať garancie bankám a bonifikovať úroky. </w:t>
      </w:r>
    </w:p>
    <w:p w14:paraId="248E85E7"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4.</w:t>
      </w:r>
      <w:r w:rsidRPr="00783DE5">
        <w:rPr>
          <w:rFonts w:ascii="Times New Roman" w:eastAsiaTheme="majorEastAsia" w:hAnsi="Times New Roman" w:cs="Times New Roman"/>
          <w:kern w:val="24"/>
          <w:sz w:val="24"/>
          <w:szCs w:val="24"/>
        </w:rPr>
        <w:tab/>
        <w:t xml:space="preserve">Výchova spotrebiteľa o potravinách a výžive so zameraním na zdravý životný štýl, zlepšovanie nákupného patriotizmu spotrebiteľov, podpora odbytu </w:t>
      </w:r>
    </w:p>
    <w:p w14:paraId="0AB3AE89"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5.</w:t>
      </w:r>
      <w:r w:rsidRPr="00783DE5">
        <w:rPr>
          <w:rFonts w:ascii="Times New Roman" w:eastAsiaTheme="majorEastAsia" w:hAnsi="Times New Roman" w:cs="Times New Roman"/>
          <w:kern w:val="24"/>
          <w:sz w:val="24"/>
          <w:szCs w:val="24"/>
        </w:rPr>
        <w:tab/>
        <w:t xml:space="preserve">Zvýšenie a zlepšenie prenosu poznatkov vedy a výskumu do praxe </w:t>
      </w:r>
    </w:p>
    <w:p w14:paraId="49785FA9" w14:textId="2A3B796A"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6.</w:t>
      </w:r>
      <w:r w:rsidRPr="00783DE5">
        <w:rPr>
          <w:rFonts w:ascii="Times New Roman" w:eastAsiaTheme="majorEastAsia" w:hAnsi="Times New Roman" w:cs="Times New Roman"/>
          <w:kern w:val="24"/>
          <w:sz w:val="24"/>
          <w:szCs w:val="24"/>
        </w:rPr>
        <w:tab/>
        <w:t>Podpora nových foriem odbytu vrátane zabezpečenia verejného stravovania</w:t>
      </w:r>
    </w:p>
    <w:p w14:paraId="3A79BE6B"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 xml:space="preserve">Trendy špecifické pre zeleninu a zemiaky: </w:t>
      </w:r>
    </w:p>
    <w:p w14:paraId="6B8AE20A"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1.</w:t>
      </w:r>
      <w:r w:rsidRPr="00783DE5">
        <w:rPr>
          <w:rFonts w:ascii="Times New Roman" w:eastAsiaTheme="majorEastAsia" w:hAnsi="Times New Roman" w:cs="Times New Roman"/>
          <w:kern w:val="24"/>
          <w:sz w:val="24"/>
          <w:szCs w:val="24"/>
        </w:rPr>
        <w:tab/>
        <w:t xml:space="preserve">rozšírenie pestovateľských plôch otvorených a krytých </w:t>
      </w:r>
    </w:p>
    <w:p w14:paraId="4A0E8B4C"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2.</w:t>
      </w:r>
      <w:r w:rsidRPr="00783DE5">
        <w:rPr>
          <w:rFonts w:ascii="Times New Roman" w:eastAsiaTheme="majorEastAsia" w:hAnsi="Times New Roman" w:cs="Times New Roman"/>
          <w:kern w:val="24"/>
          <w:sz w:val="24"/>
          <w:szCs w:val="24"/>
        </w:rPr>
        <w:tab/>
        <w:t xml:space="preserve">zavedenie moderných pestovateľských systémov </w:t>
      </w:r>
    </w:p>
    <w:p w14:paraId="2B02D194"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3.</w:t>
      </w:r>
      <w:r w:rsidRPr="00783DE5">
        <w:rPr>
          <w:rFonts w:ascii="Times New Roman" w:eastAsiaTheme="majorEastAsia" w:hAnsi="Times New Roman" w:cs="Times New Roman"/>
          <w:kern w:val="24"/>
          <w:sz w:val="24"/>
          <w:szCs w:val="24"/>
        </w:rPr>
        <w:tab/>
        <w:t xml:space="preserve">zabezpečenie investícií do závlah </w:t>
      </w:r>
    </w:p>
    <w:p w14:paraId="262EF4FB"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lastRenderedPageBreak/>
        <w:t>4.</w:t>
      </w:r>
      <w:r w:rsidRPr="00783DE5">
        <w:rPr>
          <w:rFonts w:ascii="Times New Roman" w:eastAsiaTheme="majorEastAsia" w:hAnsi="Times New Roman" w:cs="Times New Roman"/>
          <w:kern w:val="24"/>
          <w:sz w:val="24"/>
          <w:szCs w:val="24"/>
        </w:rPr>
        <w:tab/>
        <w:t xml:space="preserve">vybudovanie moderných kapacít na pozberové úpravy, triedenie, balenie </w:t>
      </w:r>
    </w:p>
    <w:p w14:paraId="72790F55"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5.</w:t>
      </w:r>
      <w:r w:rsidRPr="00783DE5">
        <w:rPr>
          <w:rFonts w:ascii="Times New Roman" w:eastAsiaTheme="majorEastAsia" w:hAnsi="Times New Roman" w:cs="Times New Roman"/>
          <w:kern w:val="24"/>
          <w:sz w:val="24"/>
          <w:szCs w:val="24"/>
        </w:rPr>
        <w:tab/>
        <w:t xml:space="preserve">vybudovanie dostatočných skladovacích kapacít </w:t>
      </w:r>
    </w:p>
    <w:p w14:paraId="294E1B07"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6.</w:t>
      </w:r>
      <w:r w:rsidRPr="00783DE5">
        <w:rPr>
          <w:rFonts w:ascii="Times New Roman" w:eastAsiaTheme="majorEastAsia" w:hAnsi="Times New Roman" w:cs="Times New Roman"/>
          <w:kern w:val="24"/>
          <w:sz w:val="24"/>
          <w:szCs w:val="24"/>
        </w:rPr>
        <w:tab/>
        <w:t xml:space="preserve">modernizácia a reštrukturalizácia konzervárenského a mraziarenského priemyslu s cieľom odstránenia technologického dlhu </w:t>
      </w:r>
    </w:p>
    <w:p w14:paraId="346FABCB"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7.</w:t>
      </w:r>
      <w:r w:rsidRPr="00783DE5">
        <w:rPr>
          <w:rFonts w:ascii="Times New Roman" w:eastAsiaTheme="majorEastAsia" w:hAnsi="Times New Roman" w:cs="Times New Roman"/>
          <w:kern w:val="24"/>
          <w:sz w:val="24"/>
          <w:szCs w:val="24"/>
        </w:rPr>
        <w:tab/>
        <w:t xml:space="preserve">zabezpečenie finančných prostriedkov na investície </w:t>
      </w:r>
    </w:p>
    <w:p w14:paraId="40395DC1" w14:textId="2485E70B" w:rsid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8.</w:t>
      </w:r>
      <w:r w:rsidRPr="00783DE5">
        <w:rPr>
          <w:rFonts w:ascii="Times New Roman" w:eastAsiaTheme="majorEastAsia" w:hAnsi="Times New Roman" w:cs="Times New Roman"/>
          <w:kern w:val="24"/>
          <w:sz w:val="24"/>
          <w:szCs w:val="24"/>
        </w:rPr>
        <w:tab/>
        <w:t>zvýšenie podpory sektoru pestovania zeleniny</w:t>
      </w:r>
    </w:p>
    <w:p w14:paraId="23FD12CF" w14:textId="77777777" w:rsidR="00A31CE5" w:rsidRDefault="00A31CE5" w:rsidP="00783DE5">
      <w:pPr>
        <w:spacing w:line="360" w:lineRule="auto"/>
        <w:jc w:val="center"/>
        <w:rPr>
          <w:rFonts w:ascii="Times New Roman" w:eastAsiaTheme="majorEastAsia" w:hAnsi="Times New Roman" w:cs="Times New Roman"/>
          <w:b/>
          <w:bCs/>
          <w:kern w:val="24"/>
          <w:sz w:val="24"/>
          <w:szCs w:val="24"/>
        </w:rPr>
      </w:pPr>
    </w:p>
    <w:p w14:paraId="624A9F71" w14:textId="3AC49E63" w:rsidR="00783DE5" w:rsidRPr="00783DE5" w:rsidRDefault="00783DE5" w:rsidP="00783DE5">
      <w:pPr>
        <w:spacing w:line="360" w:lineRule="auto"/>
        <w:jc w:val="center"/>
        <w:rPr>
          <w:rFonts w:ascii="Times New Roman" w:eastAsiaTheme="majorEastAsia" w:hAnsi="Times New Roman" w:cs="Times New Roman"/>
          <w:b/>
          <w:bCs/>
          <w:kern w:val="24"/>
          <w:sz w:val="24"/>
          <w:szCs w:val="24"/>
        </w:rPr>
      </w:pPr>
      <w:r>
        <w:rPr>
          <w:rFonts w:ascii="Times New Roman" w:eastAsiaTheme="majorEastAsia" w:hAnsi="Times New Roman" w:cs="Times New Roman"/>
          <w:b/>
          <w:bCs/>
          <w:kern w:val="24"/>
          <w:sz w:val="24"/>
          <w:szCs w:val="24"/>
        </w:rPr>
        <w:t>U</w:t>
      </w:r>
      <w:r w:rsidRPr="00783DE5">
        <w:rPr>
          <w:rFonts w:ascii="Times New Roman" w:eastAsiaTheme="majorEastAsia" w:hAnsi="Times New Roman" w:cs="Times New Roman"/>
          <w:b/>
          <w:bCs/>
          <w:kern w:val="24"/>
          <w:sz w:val="24"/>
          <w:szCs w:val="24"/>
        </w:rPr>
        <w:t>miestňovanie slovenskej zeleniny a zemiakov na trhu - možnosti odbytu, obchodné a marketingové stratégie.</w:t>
      </w:r>
    </w:p>
    <w:p w14:paraId="4D334103" w14:textId="71A85826"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Spotrebitelia, ich požiadavky a správanie sa spolu s vývojom trhu menia.</w:t>
      </w:r>
    </w:p>
    <w:p w14:paraId="5B882122"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Spotrebitelia sa rozdeľujú do 5 E:</w:t>
      </w:r>
    </w:p>
    <w:p w14:paraId="17B2BD40"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w:t>
      </w:r>
      <w:r w:rsidRPr="00783DE5">
        <w:rPr>
          <w:rFonts w:ascii="Times New Roman" w:eastAsiaTheme="majorEastAsia" w:hAnsi="Times New Roman" w:cs="Times New Roman"/>
          <w:kern w:val="24"/>
          <w:sz w:val="24"/>
          <w:szCs w:val="24"/>
        </w:rPr>
        <w:tab/>
        <w:t>egoistický spotrebiteľ,</w:t>
      </w:r>
    </w:p>
    <w:p w14:paraId="3F130C01"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w:t>
      </w:r>
      <w:r w:rsidRPr="00783DE5">
        <w:rPr>
          <w:rFonts w:ascii="Times New Roman" w:eastAsiaTheme="majorEastAsia" w:hAnsi="Times New Roman" w:cs="Times New Roman"/>
          <w:kern w:val="24"/>
          <w:sz w:val="24"/>
          <w:szCs w:val="24"/>
        </w:rPr>
        <w:tab/>
        <w:t>ekologický spotrebiteľ,</w:t>
      </w:r>
    </w:p>
    <w:p w14:paraId="58C04E57"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w:t>
      </w:r>
      <w:r w:rsidRPr="00783DE5">
        <w:rPr>
          <w:rFonts w:ascii="Times New Roman" w:eastAsiaTheme="majorEastAsia" w:hAnsi="Times New Roman" w:cs="Times New Roman"/>
          <w:kern w:val="24"/>
          <w:sz w:val="24"/>
          <w:szCs w:val="24"/>
        </w:rPr>
        <w:tab/>
        <w:t>etický spotrebiteľ,</w:t>
      </w:r>
    </w:p>
    <w:p w14:paraId="648A407C"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w:t>
      </w:r>
      <w:r w:rsidRPr="00783DE5">
        <w:rPr>
          <w:rFonts w:ascii="Times New Roman" w:eastAsiaTheme="majorEastAsia" w:hAnsi="Times New Roman" w:cs="Times New Roman"/>
          <w:kern w:val="24"/>
          <w:sz w:val="24"/>
          <w:szCs w:val="24"/>
        </w:rPr>
        <w:tab/>
        <w:t>e-spotrebiteľ,</w:t>
      </w:r>
    </w:p>
    <w:p w14:paraId="3FFD52DC" w14:textId="63D392C8" w:rsid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w:t>
      </w:r>
      <w:r w:rsidRPr="00783DE5">
        <w:rPr>
          <w:rFonts w:ascii="Times New Roman" w:eastAsiaTheme="majorEastAsia" w:hAnsi="Times New Roman" w:cs="Times New Roman"/>
          <w:kern w:val="24"/>
          <w:sz w:val="24"/>
          <w:szCs w:val="24"/>
        </w:rPr>
        <w:tab/>
        <w:t>etnický spotrebiteľ.</w:t>
      </w:r>
    </w:p>
    <w:p w14:paraId="3CD8CF9D"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Egoistický spotrebiteľ prezentuje generáciu, ktorá sa narodila v blahobyte, kedy materiálnych vecí bolo dostatok a tak sa tento spotrebiteľ zameriava primárne na starostlivosť o seba a o inovované produkty.</w:t>
      </w:r>
    </w:p>
    <w:p w14:paraId="64A19585"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Ekologický spotrebiteľ tento spotrebiteľ nakupuje radšej naturálne produkty ktoré nemajú negatívne dopady na životné prostredie, niekedy však títo spotrebitelia nenakupujú z dôvodov šetrenia planéty pretože nie sú dostatočne informovaný, ale nakupujú tieto produkty, pretože je to trend.</w:t>
      </w:r>
    </w:p>
    <w:p w14:paraId="25F20734"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Etický spotrebiteľ má sociálne cítenie, je uvedomenejší a správa sa tak aby jeho činy dopomohli k sociálnej zmene.</w:t>
      </w:r>
    </w:p>
    <w:p w14:paraId="510B2158"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 xml:space="preserve">E-spotrebiteľ sa v posledných rokoch dostáva do popredia, podniky si musia uvedomiť návštevnosť internetových stránok, a preto musia dbať na ich aktualizovanosť a úpravu. </w:t>
      </w:r>
      <w:r w:rsidRPr="00783DE5">
        <w:rPr>
          <w:rFonts w:ascii="Times New Roman" w:eastAsiaTheme="majorEastAsia" w:hAnsi="Times New Roman" w:cs="Times New Roman"/>
          <w:kern w:val="24"/>
          <w:sz w:val="24"/>
          <w:szCs w:val="24"/>
        </w:rPr>
        <w:lastRenderedPageBreak/>
        <w:t>Spotrebiteľom sa nakupovanie na internete páči, zaberie im menej času ako nakupovanie v obchode. Veľa krát ušetria nie len čas ale aj peniaze, pretože výrobky nakúpené priamo na stránke od výrobcu sú lacnejšie ako v maloobchodných predajniach. Toto nakupovanie je však oveľa pohodlnejšie, a najmä z tohto dôvodu sa k nemu prikláňa čoraz viac spotrebiteľov.</w:t>
      </w:r>
    </w:p>
    <w:p w14:paraId="46B2EF9A" w14:textId="005535FE" w:rsid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Etnický spotrebiteľ je jedinec ktorý sa riadi globálnymi trendami, globálne jedlá alebo produkty pre nich už nie sú neznáme. Tento trend si niekedy môžu dovoliť len tí bohatší, je to pre nich spôsob úniku od nudy, alebo stereotypu.</w:t>
      </w:r>
    </w:p>
    <w:p w14:paraId="7848FE08" w14:textId="77777777" w:rsidR="00A31CE5" w:rsidRPr="00A31CE5" w:rsidRDefault="00A31CE5" w:rsidP="00A31CE5">
      <w:pPr>
        <w:spacing w:line="360" w:lineRule="auto"/>
        <w:jc w:val="both"/>
        <w:rPr>
          <w:rFonts w:ascii="Times New Roman" w:eastAsiaTheme="majorEastAsia" w:hAnsi="Times New Roman" w:cs="Times New Roman"/>
          <w:b/>
          <w:bCs/>
          <w:kern w:val="24"/>
          <w:sz w:val="24"/>
          <w:szCs w:val="24"/>
        </w:rPr>
      </w:pPr>
      <w:r w:rsidRPr="00A31CE5">
        <w:rPr>
          <w:rFonts w:ascii="Times New Roman" w:eastAsiaTheme="majorEastAsia" w:hAnsi="Times New Roman" w:cs="Times New Roman"/>
          <w:kern w:val="24"/>
          <w:sz w:val="24"/>
          <w:szCs w:val="24"/>
        </w:rPr>
        <w:t xml:space="preserve">                        </w:t>
      </w:r>
      <w:r w:rsidRPr="00A31CE5">
        <w:rPr>
          <w:rFonts w:ascii="Times New Roman" w:eastAsiaTheme="majorEastAsia" w:hAnsi="Times New Roman" w:cs="Times New Roman"/>
          <w:b/>
          <w:bCs/>
          <w:kern w:val="24"/>
          <w:sz w:val="24"/>
          <w:szCs w:val="24"/>
        </w:rPr>
        <w:t xml:space="preserve"> UDRŽATEĽNOSŤ</w:t>
      </w:r>
    </w:p>
    <w:p w14:paraId="5FEEEC5F"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 xml:space="preserve">LOKÁLNE VYROBENÉ / SPOTREBOVANÉ                                                            </w:t>
      </w:r>
    </w:p>
    <w:p w14:paraId="6BEEDA5E"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BIOPRODUKTY</w:t>
      </w:r>
    </w:p>
    <w:p w14:paraId="453C2A88"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BIODEGRADOVATEĽNÉ OBALY</w:t>
      </w:r>
    </w:p>
    <w:p w14:paraId="303869EA"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MENŠIE BALENIA = MENEJ ODPADU</w:t>
      </w:r>
    </w:p>
    <w:p w14:paraId="7F440CEC"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 xml:space="preserve">PREDAJ ZELENINY A ZEMIAKOV BEZ OBALU </w:t>
      </w:r>
    </w:p>
    <w:p w14:paraId="70B0AE8C"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 xml:space="preserve">KONCEPTY </w:t>
      </w:r>
    </w:p>
    <w:p w14:paraId="60051083" w14:textId="363F0A6B" w:rsid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INTERNETOVÝ PREDAJ</w:t>
      </w:r>
    </w:p>
    <w:p w14:paraId="6947CC14" w14:textId="77777777" w:rsidR="00A31CE5" w:rsidRPr="00A31CE5" w:rsidRDefault="00A31CE5" w:rsidP="00A31CE5">
      <w:pPr>
        <w:spacing w:line="360" w:lineRule="auto"/>
        <w:jc w:val="both"/>
        <w:rPr>
          <w:rFonts w:ascii="Times New Roman" w:eastAsiaTheme="majorEastAsia" w:hAnsi="Times New Roman" w:cs="Times New Roman"/>
          <w:b/>
          <w:bCs/>
          <w:kern w:val="24"/>
          <w:sz w:val="24"/>
          <w:szCs w:val="24"/>
        </w:rPr>
      </w:pPr>
      <w:r w:rsidRPr="00A31CE5">
        <w:rPr>
          <w:rFonts w:ascii="Times New Roman" w:eastAsiaTheme="majorEastAsia" w:hAnsi="Times New Roman" w:cs="Times New Roman"/>
          <w:kern w:val="24"/>
          <w:sz w:val="24"/>
          <w:szCs w:val="24"/>
        </w:rPr>
        <w:t xml:space="preserve">                     </w:t>
      </w:r>
      <w:r w:rsidRPr="00A31CE5">
        <w:rPr>
          <w:rFonts w:ascii="Times New Roman" w:eastAsiaTheme="majorEastAsia" w:hAnsi="Times New Roman" w:cs="Times New Roman"/>
          <w:b/>
          <w:bCs/>
          <w:kern w:val="24"/>
          <w:sz w:val="24"/>
          <w:szCs w:val="24"/>
        </w:rPr>
        <w:t xml:space="preserve">    ZDRAVIE</w:t>
      </w:r>
    </w:p>
    <w:p w14:paraId="2E0BA48B"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 xml:space="preserve">ZELENINA A ZEMIAKY SÚ ZDRAVIU PROSPEŠNÉ                                                                                                               </w:t>
      </w:r>
    </w:p>
    <w:p w14:paraId="0FB43D19"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BEZ UMELÝCH ADITÍV</w:t>
      </w:r>
    </w:p>
    <w:p w14:paraId="10988EF9"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MENEJ POUŽITEJ CHÉMIE /  PESTICÍDOV</w:t>
      </w:r>
    </w:p>
    <w:p w14:paraId="2B7F7760" w14:textId="63196C75" w:rsid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BIOZELENINA, BIOZEMIAKY</w:t>
      </w:r>
    </w:p>
    <w:p w14:paraId="35DF357A" w14:textId="33DAD126" w:rsidR="00A31CE5" w:rsidRPr="00A31CE5" w:rsidRDefault="00A31CE5" w:rsidP="00A31CE5">
      <w:pPr>
        <w:spacing w:line="360" w:lineRule="auto"/>
        <w:jc w:val="both"/>
        <w:rPr>
          <w:rFonts w:ascii="Times New Roman" w:eastAsiaTheme="majorEastAsia" w:hAnsi="Times New Roman" w:cs="Times New Roman"/>
          <w:b/>
          <w:bCs/>
          <w:kern w:val="24"/>
          <w:sz w:val="24"/>
          <w:szCs w:val="24"/>
        </w:rPr>
      </w:pPr>
      <w:r>
        <w:rPr>
          <w:rFonts w:ascii="Times New Roman" w:eastAsiaTheme="majorEastAsia" w:hAnsi="Times New Roman" w:cs="Times New Roman"/>
          <w:b/>
          <w:bCs/>
          <w:kern w:val="24"/>
          <w:sz w:val="24"/>
          <w:szCs w:val="24"/>
        </w:rPr>
        <w:t xml:space="preserve"> </w:t>
      </w:r>
      <w:r>
        <w:rPr>
          <w:rFonts w:ascii="Times New Roman" w:eastAsiaTheme="majorEastAsia" w:hAnsi="Times New Roman" w:cs="Times New Roman"/>
          <w:b/>
          <w:bCs/>
          <w:kern w:val="24"/>
          <w:sz w:val="24"/>
          <w:szCs w:val="24"/>
        </w:rPr>
        <w:tab/>
      </w:r>
      <w:r w:rsidRPr="00A31CE5">
        <w:rPr>
          <w:rFonts w:ascii="Times New Roman" w:eastAsiaTheme="majorEastAsia" w:hAnsi="Times New Roman" w:cs="Times New Roman"/>
          <w:b/>
          <w:bCs/>
          <w:kern w:val="24"/>
          <w:sz w:val="24"/>
          <w:szCs w:val="24"/>
        </w:rPr>
        <w:t>ZAUJÍMAVÉ NOVINKY</w:t>
      </w:r>
    </w:p>
    <w:p w14:paraId="4F135F6A"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NOVÉ DRUHY ZELENINY</w:t>
      </w:r>
    </w:p>
    <w:p w14:paraId="35403409"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POLOTOVARY – lúpané zemiaky, ošúpaná cibiľa</w:t>
      </w:r>
    </w:p>
    <w:p w14:paraId="7B18FE87"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READY TO COOK</w:t>
      </w:r>
    </w:p>
    <w:p w14:paraId="08E98944"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QR KÓDY - pre lepšiu informovanosť zákazníka – produkt môže dostať svoj vlastný príbeh</w:t>
      </w:r>
    </w:p>
    <w:p w14:paraId="0243B1E0"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lastRenderedPageBreak/>
        <w:t>ALL IN BALENIE NA PRÍPRAVU JEDLA - čerstvý mix zelenín a ingrediencií na prípravu konkrétneho jedla</w:t>
      </w:r>
    </w:p>
    <w:p w14:paraId="7A0B8C61"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OBALY Z ODPADU</w:t>
      </w:r>
    </w:p>
    <w:p w14:paraId="28155350"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FAREBNÉ ZEMIAKY S FAREBNOU DUŽINOU / MIX</w:t>
      </w:r>
    </w:p>
    <w:p w14:paraId="61629EB7" w14:textId="1215B40C" w:rsid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PERUPAS KONCEPT</w:t>
      </w:r>
    </w:p>
    <w:p w14:paraId="65A8EAF4" w14:textId="77777777" w:rsidR="00A31CE5" w:rsidRDefault="00A31CE5" w:rsidP="00A31CE5">
      <w:pPr>
        <w:spacing w:line="360" w:lineRule="auto"/>
        <w:jc w:val="both"/>
        <w:rPr>
          <w:rFonts w:ascii="Times New Roman" w:eastAsiaTheme="majorEastAsia" w:hAnsi="Times New Roman" w:cs="Times New Roman"/>
          <w:kern w:val="24"/>
          <w:sz w:val="24"/>
          <w:szCs w:val="24"/>
        </w:rPr>
      </w:pPr>
    </w:p>
    <w:p w14:paraId="5F9FD1A7" w14:textId="1171BE1C" w:rsidR="00A31CE5" w:rsidRDefault="00A31CE5" w:rsidP="00A31CE5">
      <w:pPr>
        <w:spacing w:line="360" w:lineRule="auto"/>
        <w:jc w:val="both"/>
        <w:rPr>
          <w:rFonts w:ascii="Times New Roman" w:eastAsiaTheme="majorEastAsia" w:hAnsi="Times New Roman" w:cs="Times New Roman"/>
          <w:b/>
          <w:bCs/>
          <w:kern w:val="24"/>
          <w:sz w:val="24"/>
          <w:szCs w:val="24"/>
        </w:rPr>
      </w:pPr>
      <w:r w:rsidRPr="00A31CE5">
        <w:rPr>
          <w:rFonts w:ascii="Times New Roman" w:eastAsiaTheme="majorEastAsia" w:hAnsi="Times New Roman" w:cs="Times New Roman"/>
          <w:b/>
          <w:bCs/>
          <w:kern w:val="24"/>
          <w:sz w:val="24"/>
          <w:szCs w:val="24"/>
        </w:rPr>
        <w:t>III. Kvalita zeleniny a</w:t>
      </w:r>
      <w:r>
        <w:rPr>
          <w:rFonts w:ascii="Times New Roman" w:eastAsiaTheme="majorEastAsia" w:hAnsi="Times New Roman" w:cs="Times New Roman"/>
          <w:b/>
          <w:bCs/>
          <w:kern w:val="24"/>
          <w:sz w:val="24"/>
          <w:szCs w:val="24"/>
        </w:rPr>
        <w:t> </w:t>
      </w:r>
      <w:r w:rsidRPr="00A31CE5">
        <w:rPr>
          <w:rFonts w:ascii="Times New Roman" w:eastAsiaTheme="majorEastAsia" w:hAnsi="Times New Roman" w:cs="Times New Roman"/>
          <w:b/>
          <w:bCs/>
          <w:kern w:val="24"/>
          <w:sz w:val="24"/>
          <w:szCs w:val="24"/>
        </w:rPr>
        <w:t>zemiakov</w:t>
      </w:r>
    </w:p>
    <w:p w14:paraId="0480F7CB"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Kontrolný orgán v Slovenskej republike</w:t>
      </w:r>
    </w:p>
    <w:p w14:paraId="62AED55A"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V zmysle nariadenia Komisie (EÚ) č. 543/2011 určilo Ministerstvo pôdohospodárstva a rozvoja vidieka SR ako kontrolný orgán na kontrolu zhody čerstvého ovocia a zeleniny v Slovenskej republike zákonom  č. 491/2001 Z.z. v aktuálnom znení:</w:t>
      </w:r>
    </w:p>
    <w:p w14:paraId="683BB6C8" w14:textId="77777777" w:rsidR="00A31CE5" w:rsidRPr="00A31CE5" w:rsidRDefault="00A31CE5" w:rsidP="00A31CE5">
      <w:pPr>
        <w:spacing w:line="360" w:lineRule="auto"/>
        <w:jc w:val="both"/>
        <w:rPr>
          <w:rFonts w:ascii="Times New Roman" w:eastAsiaTheme="majorEastAsia" w:hAnsi="Times New Roman" w:cs="Times New Roman"/>
          <w:b/>
          <w:bCs/>
          <w:kern w:val="24"/>
          <w:sz w:val="24"/>
          <w:szCs w:val="24"/>
        </w:rPr>
      </w:pPr>
      <w:r w:rsidRPr="00A31CE5">
        <w:rPr>
          <w:rFonts w:ascii="Times New Roman" w:eastAsiaTheme="majorEastAsia" w:hAnsi="Times New Roman" w:cs="Times New Roman"/>
          <w:kern w:val="24"/>
          <w:sz w:val="24"/>
          <w:szCs w:val="24"/>
        </w:rPr>
        <w:t xml:space="preserve">    </w:t>
      </w:r>
      <w:r w:rsidRPr="00A31CE5">
        <w:rPr>
          <w:rFonts w:ascii="Times New Roman" w:eastAsiaTheme="majorEastAsia" w:hAnsi="Times New Roman" w:cs="Times New Roman"/>
          <w:b/>
          <w:bCs/>
          <w:kern w:val="24"/>
          <w:sz w:val="24"/>
          <w:szCs w:val="24"/>
        </w:rPr>
        <w:t>Štátnu veterinárnu a potravinovú správu</w:t>
      </w:r>
      <w:r w:rsidRPr="00A31CE5">
        <w:rPr>
          <w:rFonts w:ascii="Times New Roman" w:eastAsiaTheme="majorEastAsia" w:hAnsi="Times New Roman" w:cs="Times New Roman"/>
          <w:b/>
          <w:bCs/>
          <w:kern w:val="24"/>
          <w:sz w:val="24"/>
          <w:szCs w:val="24"/>
        </w:rPr>
        <w:tab/>
      </w:r>
      <w:r w:rsidRPr="00A31CE5">
        <w:rPr>
          <w:rFonts w:ascii="Times New Roman" w:eastAsiaTheme="majorEastAsia" w:hAnsi="Times New Roman" w:cs="Times New Roman"/>
          <w:b/>
          <w:bCs/>
          <w:kern w:val="24"/>
          <w:sz w:val="24"/>
          <w:szCs w:val="24"/>
        </w:rPr>
        <w:tab/>
      </w:r>
      <w:r w:rsidRPr="00A31CE5">
        <w:rPr>
          <w:rFonts w:ascii="Times New Roman" w:eastAsiaTheme="majorEastAsia" w:hAnsi="Times New Roman" w:cs="Times New Roman"/>
          <w:b/>
          <w:bCs/>
          <w:kern w:val="24"/>
          <w:sz w:val="24"/>
          <w:szCs w:val="24"/>
        </w:rPr>
        <w:tab/>
      </w:r>
      <w:r w:rsidRPr="00A31CE5">
        <w:rPr>
          <w:rFonts w:ascii="Times New Roman" w:eastAsiaTheme="majorEastAsia" w:hAnsi="Times New Roman" w:cs="Times New Roman"/>
          <w:b/>
          <w:bCs/>
          <w:kern w:val="24"/>
          <w:sz w:val="24"/>
          <w:szCs w:val="24"/>
        </w:rPr>
        <w:tab/>
      </w:r>
    </w:p>
    <w:p w14:paraId="55E015BC" w14:textId="77777777" w:rsidR="00A31CE5" w:rsidRPr="00A31CE5" w:rsidRDefault="00A31CE5" w:rsidP="00A31CE5">
      <w:pPr>
        <w:pStyle w:val="Odsekzoznamu"/>
        <w:numPr>
          <w:ilvl w:val="0"/>
          <w:numId w:val="4"/>
        </w:num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riadi, usmerňuje a koordinuje kontrolu</w:t>
      </w:r>
      <w:r w:rsidRPr="00A31CE5">
        <w:rPr>
          <w:rFonts w:ascii="Times New Roman" w:eastAsiaTheme="majorEastAsia" w:hAnsi="Times New Roman" w:cs="Times New Roman"/>
          <w:kern w:val="24"/>
          <w:sz w:val="24"/>
          <w:szCs w:val="24"/>
        </w:rPr>
        <w:tab/>
      </w:r>
      <w:r w:rsidRPr="00A31CE5">
        <w:rPr>
          <w:rFonts w:ascii="Times New Roman" w:eastAsiaTheme="majorEastAsia" w:hAnsi="Times New Roman" w:cs="Times New Roman"/>
          <w:kern w:val="24"/>
          <w:sz w:val="24"/>
          <w:szCs w:val="24"/>
        </w:rPr>
        <w:tab/>
      </w:r>
      <w:r w:rsidRPr="00A31CE5">
        <w:rPr>
          <w:rFonts w:ascii="Times New Roman" w:eastAsiaTheme="majorEastAsia" w:hAnsi="Times New Roman" w:cs="Times New Roman"/>
          <w:kern w:val="24"/>
          <w:sz w:val="24"/>
          <w:szCs w:val="24"/>
        </w:rPr>
        <w:tab/>
      </w:r>
      <w:r w:rsidRPr="00A31CE5">
        <w:rPr>
          <w:rFonts w:ascii="Times New Roman" w:eastAsiaTheme="majorEastAsia" w:hAnsi="Times New Roman" w:cs="Times New Roman"/>
          <w:kern w:val="24"/>
          <w:sz w:val="24"/>
          <w:szCs w:val="24"/>
        </w:rPr>
        <w:tab/>
      </w:r>
      <w:r w:rsidRPr="00A31CE5">
        <w:rPr>
          <w:rFonts w:ascii="Times New Roman" w:eastAsiaTheme="majorEastAsia" w:hAnsi="Times New Roman" w:cs="Times New Roman"/>
          <w:kern w:val="24"/>
          <w:sz w:val="24"/>
          <w:szCs w:val="24"/>
        </w:rPr>
        <w:tab/>
      </w:r>
      <w:r w:rsidRPr="00A31CE5">
        <w:rPr>
          <w:rFonts w:ascii="Times New Roman" w:eastAsiaTheme="majorEastAsia" w:hAnsi="Times New Roman" w:cs="Times New Roman"/>
          <w:kern w:val="24"/>
          <w:sz w:val="24"/>
          <w:szCs w:val="24"/>
        </w:rPr>
        <w:tab/>
      </w:r>
    </w:p>
    <w:p w14:paraId="10AEA989" w14:textId="77777777" w:rsidR="00A31CE5" w:rsidRPr="00A31CE5" w:rsidRDefault="00A31CE5" w:rsidP="00A31CE5">
      <w:pPr>
        <w:pStyle w:val="Odsekzoznamu"/>
        <w:numPr>
          <w:ilvl w:val="0"/>
          <w:numId w:val="4"/>
        </w:num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je druhostupňovým odvolacím orgánom</w:t>
      </w:r>
    </w:p>
    <w:p w14:paraId="17AAB740" w14:textId="77777777" w:rsidR="00A31CE5" w:rsidRPr="00A31CE5" w:rsidRDefault="00A31CE5" w:rsidP="00A31CE5">
      <w:pPr>
        <w:pStyle w:val="Odsekzoznamu"/>
        <w:numPr>
          <w:ilvl w:val="0"/>
          <w:numId w:val="4"/>
        </w:num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v prípade potreby vykonáva kontrolu zhody pri dovoze a vývoze</w:t>
      </w:r>
    </w:p>
    <w:p w14:paraId="0B44DADC" w14:textId="77777777" w:rsidR="00A31CE5" w:rsidRPr="00A31CE5" w:rsidRDefault="00A31CE5" w:rsidP="00A31CE5">
      <w:pPr>
        <w:pStyle w:val="Odsekzoznamu"/>
        <w:numPr>
          <w:ilvl w:val="0"/>
          <w:numId w:val="4"/>
        </w:num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vypracúva program kontroly v maloobchodnom predaji</w:t>
      </w:r>
    </w:p>
    <w:p w14:paraId="6B8CDDC5" w14:textId="77777777" w:rsidR="00A31CE5" w:rsidRPr="00A31CE5" w:rsidRDefault="00A31CE5" w:rsidP="00A31CE5">
      <w:pPr>
        <w:pStyle w:val="Odsekzoznamu"/>
        <w:numPr>
          <w:ilvl w:val="0"/>
          <w:numId w:val="4"/>
        </w:num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 xml:space="preserve">vedie register podnikateľov </w:t>
      </w:r>
    </w:p>
    <w:p w14:paraId="1624C315" w14:textId="77777777" w:rsidR="00A31CE5" w:rsidRPr="00A31CE5" w:rsidRDefault="00A31CE5" w:rsidP="00A31CE5">
      <w:pPr>
        <w:pStyle w:val="Odsekzoznamu"/>
        <w:numPr>
          <w:ilvl w:val="0"/>
          <w:numId w:val="4"/>
        </w:num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plní ďalšie úlohy ustanovené nariadením vlády SR</w:t>
      </w:r>
    </w:p>
    <w:p w14:paraId="1B5CC17E" w14:textId="77777777" w:rsidR="00A31CE5" w:rsidRPr="00A31CE5" w:rsidRDefault="00A31CE5" w:rsidP="00A31CE5">
      <w:pPr>
        <w:pStyle w:val="Odsekzoznamu"/>
        <w:numPr>
          <w:ilvl w:val="0"/>
          <w:numId w:val="4"/>
        </w:num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plní oznamovaciu povinnosť</w:t>
      </w:r>
    </w:p>
    <w:p w14:paraId="5077AF7A" w14:textId="77777777" w:rsidR="00A31CE5" w:rsidRPr="00A31CE5" w:rsidRDefault="00A31CE5" w:rsidP="00A31CE5">
      <w:pPr>
        <w:spacing w:line="360" w:lineRule="auto"/>
        <w:jc w:val="both"/>
        <w:rPr>
          <w:rFonts w:ascii="Times New Roman" w:eastAsiaTheme="majorEastAsia" w:hAnsi="Times New Roman" w:cs="Times New Roman"/>
          <w:b/>
          <w:bCs/>
          <w:kern w:val="24"/>
          <w:sz w:val="24"/>
          <w:szCs w:val="24"/>
        </w:rPr>
      </w:pPr>
      <w:r w:rsidRPr="00A31CE5">
        <w:rPr>
          <w:rFonts w:ascii="Times New Roman" w:eastAsiaTheme="majorEastAsia" w:hAnsi="Times New Roman" w:cs="Times New Roman"/>
          <w:kern w:val="24"/>
          <w:sz w:val="24"/>
          <w:szCs w:val="24"/>
        </w:rPr>
        <w:t xml:space="preserve"> </w:t>
      </w:r>
      <w:r w:rsidRPr="00A31CE5">
        <w:rPr>
          <w:rFonts w:ascii="Times New Roman" w:eastAsiaTheme="majorEastAsia" w:hAnsi="Times New Roman" w:cs="Times New Roman"/>
          <w:b/>
          <w:bCs/>
          <w:kern w:val="24"/>
          <w:sz w:val="24"/>
          <w:szCs w:val="24"/>
        </w:rPr>
        <w:t xml:space="preserve">Regionálne veterinárne a potravinové správy </w:t>
      </w:r>
    </w:p>
    <w:p w14:paraId="1A93B7B6" w14:textId="77777777" w:rsidR="00A31CE5" w:rsidRPr="00A31CE5" w:rsidRDefault="00A31CE5" w:rsidP="00A31CE5">
      <w:pPr>
        <w:pStyle w:val="Odsekzoznamu"/>
        <w:numPr>
          <w:ilvl w:val="0"/>
          <w:numId w:val="5"/>
        </w:num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vykonáva kontroly zhody pri dovoze, vývoze a na vnútornom trhu</w:t>
      </w:r>
    </w:p>
    <w:p w14:paraId="2FFB732C" w14:textId="77777777" w:rsidR="00A31CE5" w:rsidRPr="00A31CE5" w:rsidRDefault="00A31CE5" w:rsidP="00A31CE5">
      <w:pPr>
        <w:pStyle w:val="Odsekzoznamu"/>
        <w:numPr>
          <w:ilvl w:val="0"/>
          <w:numId w:val="5"/>
        </w:num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ukladá pokuty a opatrenia na nápravu</w:t>
      </w:r>
    </w:p>
    <w:p w14:paraId="5C7E1F59" w14:textId="1543F549"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ŠVPS SR a RVPS zabezpečujú a vykonávajú i kontroly zdravotnej bezpečnosti čerstvého ovocia   a zeleniny v zmysle Zákona NR SR  o potravinách č. 152/1995 Z.z. v aktuálnom znení a osobitných predpisov</w:t>
      </w:r>
      <w:r>
        <w:rPr>
          <w:rFonts w:ascii="Times New Roman" w:eastAsiaTheme="majorEastAsia" w:hAnsi="Times New Roman" w:cs="Times New Roman"/>
          <w:kern w:val="24"/>
          <w:sz w:val="24"/>
          <w:szCs w:val="24"/>
        </w:rPr>
        <w:t xml:space="preserve">. </w:t>
      </w:r>
      <w:r w:rsidRPr="00A31CE5">
        <w:rPr>
          <w:rFonts w:ascii="Times New Roman" w:eastAsiaTheme="majorEastAsia" w:hAnsi="Times New Roman" w:cs="Times New Roman"/>
          <w:kern w:val="24"/>
          <w:sz w:val="24"/>
          <w:szCs w:val="24"/>
        </w:rPr>
        <w:t>Kontrolu zhody s obchodnými normami čerstvého ovocia a zeleniny vykonávajú autorizovaní inšpektori</w:t>
      </w:r>
      <w:r>
        <w:rPr>
          <w:rFonts w:ascii="Times New Roman" w:eastAsiaTheme="majorEastAsia" w:hAnsi="Times New Roman" w:cs="Times New Roman"/>
          <w:kern w:val="24"/>
          <w:sz w:val="24"/>
          <w:szCs w:val="24"/>
        </w:rPr>
        <w:t xml:space="preserve">. </w:t>
      </w:r>
      <w:r w:rsidRPr="00A31CE5">
        <w:rPr>
          <w:rFonts w:ascii="Times New Roman" w:eastAsiaTheme="majorEastAsia" w:hAnsi="Times New Roman" w:cs="Times New Roman"/>
          <w:kern w:val="24"/>
          <w:sz w:val="24"/>
          <w:szCs w:val="24"/>
        </w:rPr>
        <w:t>Kontroly sa vykonávajú na všetkých stupňoch obchodu zmysle nariadenia Európskeho parlamentu a Rady (EÚ) č. 1308/2013 a vykonávacieho nariadenia Komisie (EÚ) č. 543/2011 v aktuálnom znení</w:t>
      </w:r>
      <w:r>
        <w:rPr>
          <w:rFonts w:ascii="Times New Roman" w:eastAsiaTheme="majorEastAsia" w:hAnsi="Times New Roman" w:cs="Times New Roman"/>
          <w:kern w:val="24"/>
          <w:sz w:val="24"/>
          <w:szCs w:val="24"/>
        </w:rPr>
        <w:t xml:space="preserve">. </w:t>
      </w:r>
      <w:r w:rsidRPr="00A31CE5">
        <w:rPr>
          <w:rFonts w:ascii="Times New Roman" w:eastAsiaTheme="majorEastAsia" w:hAnsi="Times New Roman" w:cs="Times New Roman"/>
          <w:kern w:val="24"/>
          <w:sz w:val="24"/>
          <w:szCs w:val="24"/>
        </w:rPr>
        <w:t xml:space="preserve">Čerstvé ovocie a zelenina sa </w:t>
      </w:r>
      <w:r w:rsidRPr="00A31CE5">
        <w:rPr>
          <w:rFonts w:ascii="Times New Roman" w:eastAsiaTheme="majorEastAsia" w:hAnsi="Times New Roman" w:cs="Times New Roman"/>
          <w:kern w:val="24"/>
          <w:sz w:val="24"/>
          <w:szCs w:val="24"/>
        </w:rPr>
        <w:lastRenderedPageBreak/>
        <w:t>posudzujú voči obchodným normám v zmysle delegovaného nariadenia Komisie (EÚ) č. 2019/428 (s účinnosťou od 25.3. 2019)</w:t>
      </w:r>
    </w:p>
    <w:p w14:paraId="3814597C" w14:textId="713CBBA4"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Kontrola sa vykonáva na všetkých stupňoch obchodu, t.j. na vnútornom trhu u pestovateľov, vo veľkoobchode a v maloobchode; pri dovoze a pri vývoze OZ z a do tretích krajín ( mimo EÚ) . ŠVPS SR vedie register obchodníkov s</w:t>
      </w:r>
      <w:r w:rsidR="000350BD">
        <w:rPr>
          <w:rFonts w:ascii="Times New Roman" w:eastAsiaTheme="majorEastAsia" w:hAnsi="Times New Roman" w:cs="Times New Roman"/>
          <w:kern w:val="24"/>
          <w:sz w:val="24"/>
          <w:szCs w:val="24"/>
        </w:rPr>
        <w:t> </w:t>
      </w:r>
      <w:r w:rsidRPr="00A31CE5">
        <w:rPr>
          <w:rFonts w:ascii="Times New Roman" w:eastAsiaTheme="majorEastAsia" w:hAnsi="Times New Roman" w:cs="Times New Roman"/>
          <w:kern w:val="24"/>
          <w:sz w:val="24"/>
          <w:szCs w:val="24"/>
        </w:rPr>
        <w:t>OZ</w:t>
      </w:r>
      <w:r w:rsidR="000350BD">
        <w:rPr>
          <w:rFonts w:ascii="Times New Roman" w:eastAsiaTheme="majorEastAsia" w:hAnsi="Times New Roman" w:cs="Times New Roman"/>
          <w:kern w:val="24"/>
          <w:sz w:val="24"/>
          <w:szCs w:val="24"/>
        </w:rPr>
        <w:t xml:space="preserve"> </w:t>
      </w:r>
      <w:r w:rsidRPr="00A31CE5">
        <w:rPr>
          <w:rFonts w:ascii="Times New Roman" w:eastAsiaTheme="majorEastAsia" w:hAnsi="Times New Roman" w:cs="Times New Roman"/>
          <w:kern w:val="24"/>
          <w:sz w:val="24"/>
          <w:szCs w:val="24"/>
        </w:rPr>
        <w:t>(vyššie uvedené všetky stupne obchodu), ktorí majú sídlo v Slovenskej republike. Kontrola zhody zahŕňa fyzickú a dokladovú kontrolu, pri ktorej inšpektor posudzuje, či ovocie a zelenina spĺňajú požiadavky stanovené Nariadením Komisie č.543/2011.</w:t>
      </w:r>
    </w:p>
    <w:p w14:paraId="7FB9BA84"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Špecifické obchodné normy pre 10 plodín ( NK 543/2011, Príloha I., časť B) :</w:t>
      </w:r>
    </w:p>
    <w:p w14:paraId="13355D4E"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jablká</w:t>
      </w:r>
    </w:p>
    <w:p w14:paraId="01493CDA"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citrusové plody (pomaranče, mandarínky, citróny)</w:t>
      </w:r>
    </w:p>
    <w:p w14:paraId="71B01D8E"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kivi</w:t>
      </w:r>
    </w:p>
    <w:p w14:paraId="0C6AD0CB"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šaláty (endívia, eskariol)</w:t>
      </w:r>
    </w:p>
    <w:p w14:paraId="78D8B2AA"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broskyne a nektárinky</w:t>
      </w:r>
    </w:p>
    <w:p w14:paraId="2C4B296E"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hrušky</w:t>
      </w:r>
    </w:p>
    <w:p w14:paraId="5A813C99"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jahody</w:t>
      </w:r>
    </w:p>
    <w:p w14:paraId="2AFE990B"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zeleninová paprika</w:t>
      </w:r>
    </w:p>
    <w:p w14:paraId="0441FE36"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rajčiaky</w:t>
      </w:r>
    </w:p>
    <w:p w14:paraId="72C20E78"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stolové hrozno</w:t>
      </w:r>
    </w:p>
    <w:p w14:paraId="4F2CA20B" w14:textId="4637B4BE" w:rsid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Na všetky ostatné druhy ovocia a zeleniny sa vzťahuje povinnosť dodržiavať ustanovenia všeobecnej obchodnej normy ( NK 543/2011, Príloha I., časť A)</w:t>
      </w:r>
    </w:p>
    <w:p w14:paraId="161B4894"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Ovocie a zelenina, na ktoré sa nevzťahuje osobitná obchodná norma, musí spĺňať všeobecnú obchodnú normu. V prípadoch, keď je držiteľ schopný preukázať, že výrobky spĺňajú všetky platné normy prijaté Európskou hospodárskou komisiou OSN (EHK/OSN), vychádza sa z predpokladu, že výrobky spĺňajú všeobecnú obchodnú normu.</w:t>
      </w:r>
    </w:p>
    <w:p w14:paraId="2FBC007A"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V prípade, že sa obchodník rozhodne použiť normy EHK/OSN pre jednotlivé plodiny, tieto musia spĺňať požiadavky predmetnej normy.  Normy EHK/ OSN sú uverejnené na:  http://www.unece.org/trade/agr/standard/fresh/FFV-Standards.htm</w:t>
      </w:r>
    </w:p>
    <w:p w14:paraId="5A6B1053"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lastRenderedPageBreak/>
        <w:t>Niektoré sú už dostupné v slovenskom jazyku, postupne budú zverejnené ďalšie preklady. V poslednom stĺpci sú linky na OECD vysvetľovacie brožúry, v ktorých je oficiálna interpretácia noriem a obrazová časť s chybami a limitmi pre jednotlivé triedy. Dostupné sú iba v anglickom a francúzskom jazyku.</w:t>
      </w:r>
    </w:p>
    <w:p w14:paraId="585E2F58"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Ak sa prihlásite k uplatňovaniu noriem EHK/OSN, musíte ich dodržiavať. Normy EHK/OSN sa používajú v zmysle nariadenia iba pre tie plodiny, ktoré nemajú stanovené osobitné obchodné normy.</w:t>
      </w:r>
    </w:p>
    <w:p w14:paraId="621DB9DC" w14:textId="51E1418C" w:rsid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V prípade, že je na obale u čerstvého ovocia a zeleniny na ktoré sa nevzťahuje špecifická norma uvedené trieda kvality a na tento produkt je vydaná EHK/OSN norma, posudzuje sa produkt podľa príslušnej normy EHK/OSN. Prihlásenie sa k EHK/OSN norme obchodníkom je dobrovoľné.</w:t>
      </w:r>
    </w:p>
    <w:p w14:paraId="434DEF12"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 xml:space="preserve">Harmonizácia hodnotenia kvality ovocia a zeleniny </w:t>
      </w:r>
    </w:p>
    <w:p w14:paraId="1FD95497"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Program školenia je pripravený na základe požiadaviek členských štátov Schémy OECD pre uplatňovanie medzinárodných noriem kvality pre ovocie a zeleniny, ako aj slovenských pestovateľov ovocia a zeleniny a inšpekčných služieb. Účastníci podujatia majú možnosť zjednotiť si interpretáciu noriem kvality pod vedením lektorov z členských štátov Schémy OECD a zo Slovenska.  Cieľom podujatia je zvyšovanie kvality ovocia a zeleniny a zabezpečenie rovnakých postupov pri jej hodnotení.</w:t>
      </w:r>
    </w:p>
    <w:p w14:paraId="499C7931" w14:textId="069162AF" w:rsid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Program medzinárodného kurzu „Harmonizácia hodnotenia kvality ovocia a zeleniny“ je zameraný na interpretáciu noriem kvality a ich uplatňovanie v praxi, ako aj na postup pestovateľov, obchodu a inšpekčných služieb pri uplatňovaní legislatívy EÚ v sektore ovocie – zelenina. Prezentované sú vybrané normy kvality OECD- EHK/OSN – FAO.  Pre účastníkov kurzu sú pripravené aj praktické cvičenia v hodnotení jednotlivých plodín.</w:t>
      </w:r>
    </w:p>
    <w:p w14:paraId="128381CF" w14:textId="19482FFA" w:rsidR="00A31CE5" w:rsidRDefault="00A31CE5" w:rsidP="00A31CE5">
      <w:pPr>
        <w:spacing w:line="360" w:lineRule="auto"/>
        <w:jc w:val="both"/>
        <w:rPr>
          <w:rFonts w:ascii="Times New Roman" w:eastAsiaTheme="majorEastAsia" w:hAnsi="Times New Roman" w:cs="Times New Roman"/>
          <w:b/>
          <w:bCs/>
          <w:kern w:val="24"/>
          <w:sz w:val="24"/>
          <w:szCs w:val="24"/>
        </w:rPr>
      </w:pPr>
      <w:r w:rsidRPr="00A31CE5">
        <w:rPr>
          <w:rFonts w:ascii="Times New Roman" w:eastAsiaTheme="majorEastAsia" w:hAnsi="Times New Roman" w:cs="Times New Roman"/>
          <w:b/>
          <w:bCs/>
          <w:kern w:val="24"/>
          <w:sz w:val="24"/>
          <w:szCs w:val="24"/>
        </w:rPr>
        <w:t>III. Kvalita zeleniny a zemiakov – príklad z praxe, reťazce</w:t>
      </w:r>
    </w:p>
    <w:p w14:paraId="3AB74046"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 xml:space="preserve">Ovocie a zelenina v Lidl kvalite sú výsledkom štandardizovaných a kontinuálnych kontrolných procesov. Náš dôkladný systém kontroly kvality stanovuje špecifi cké požiadavky kvality pre každý druh ovocia a zeleniny a zároveň dopĺňa opatrenia na zabezpečenie kvality našich obchodných partnerov prostredníctvom rozsiahleho systému kontroly kvality spoločnosti Lidl na všetkých stupňoch procesu výroby. Pre dosiahnutie tohto cieľa zamestnáva spoločnosť Lidl odborníkov, ktorí sú v neustálom kontakte s  externými expertmi z  uznávaných akreditovaných </w:t>
      </w:r>
      <w:r w:rsidRPr="00A31CE5">
        <w:rPr>
          <w:rFonts w:ascii="Times New Roman" w:eastAsiaTheme="majorEastAsia" w:hAnsi="Times New Roman" w:cs="Times New Roman"/>
          <w:kern w:val="24"/>
          <w:sz w:val="24"/>
          <w:szCs w:val="24"/>
        </w:rPr>
        <w:lastRenderedPageBreak/>
        <w:t>laboratórií. Tieto opatrenia sú zároveň doplnené aj úspešnou účasťou našich dodávateľov v certifikačných procesoch, a to na všetkých úrovniach dodávateľského reťazca.</w:t>
      </w:r>
    </w:p>
    <w:p w14:paraId="23299B2B"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b/>
          <w:bCs/>
          <w:kern w:val="24"/>
          <w:sz w:val="24"/>
          <w:szCs w:val="24"/>
        </w:rPr>
        <w:t>Komplexná kontrola</w:t>
      </w:r>
      <w:r w:rsidRPr="00A31CE5">
        <w:rPr>
          <w:rFonts w:ascii="Times New Roman" w:eastAsiaTheme="majorEastAsia" w:hAnsi="Times New Roman" w:cs="Times New Roman"/>
          <w:kern w:val="24"/>
          <w:sz w:val="24"/>
          <w:szCs w:val="24"/>
        </w:rPr>
        <w:t xml:space="preserve"> – každý deň sú všetky dodávky čerstvého ovocia a zeleniny bez výnimky podrobované podrobným kontrolám podľa štandardizovaných procesov. Rozsiahle kontrolné procesy sa začínajú ešte predtým, ako sa produkt dostane do našich centrálnych skladov. Dôležitou súčasťou celého procesu kontroly kvality čerstvého ovocia a zeleniny je pravidelné uskutočňovanie laboratórnych analýz v akreditovaných laboratóriách, v ktorých sa odborné znalosti stretávajú s rámcovými podmienkami pri pestovaní v pestovateľských oblastiach.</w:t>
      </w:r>
    </w:p>
    <w:p w14:paraId="01653A61" w14:textId="78DAE62A" w:rsid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b/>
          <w:bCs/>
          <w:kern w:val="24"/>
          <w:sz w:val="24"/>
          <w:szCs w:val="24"/>
        </w:rPr>
        <w:t>Dohľad zvonka</w:t>
      </w:r>
      <w:r w:rsidRPr="00A31CE5">
        <w:rPr>
          <w:rFonts w:ascii="Times New Roman" w:eastAsiaTheme="majorEastAsia" w:hAnsi="Times New Roman" w:cs="Times New Roman"/>
          <w:kern w:val="24"/>
          <w:sz w:val="24"/>
          <w:szCs w:val="24"/>
        </w:rPr>
        <w:t xml:space="preserve"> – chemicko-analytickú kontrolu prítomnosti zvyškov účinných látok pesticídov a iných nežiaducich kontaminantov v čerstvom ovocí a zelenine vykonávajú odborníci v externých nezávislých akreditovaných laboratóriách. Títo špecializovaní experti dokumentujú a potvrdzujú dodržiavanie kvalitatívnych požiadaviek spoločnosti Lidl zameraných na dosiahnutie najlepšej kvality ovocia a zeleniny. Niekoľko desiatok tisíc výsledkov analýz za rok predstavuje mimo riadne komplexnú sieť analytických kontrolných procesov na všetkých stupňoch dodávateľského procesu a súčasne vytvára základ partnerskej spolupráce so všetkými účastníkmi dodávateľského reťazca – to všetko s cieľom trvalého znižovania použitia prostriedkov na ochranu rastlín v čerstvom ovocí a zelenine.</w:t>
      </w:r>
    </w:p>
    <w:p w14:paraId="37A12277"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b/>
          <w:bCs/>
          <w:kern w:val="24"/>
          <w:sz w:val="24"/>
          <w:szCs w:val="24"/>
        </w:rPr>
        <w:t>Kvalita bez výnimiek</w:t>
      </w:r>
      <w:r w:rsidRPr="00A31CE5">
        <w:rPr>
          <w:rFonts w:ascii="Times New Roman" w:eastAsiaTheme="majorEastAsia" w:hAnsi="Times New Roman" w:cs="Times New Roman"/>
          <w:kern w:val="24"/>
          <w:sz w:val="24"/>
          <w:szCs w:val="24"/>
        </w:rPr>
        <w:t xml:space="preserve"> – v  zmysle tohto cieľa sa uskutočňuje kontrola kvality čerstvého ovocia a zeleniny už pri príjme tovaru v jednotlivých centrálnych skladoch. Nami stanovené kvalitatívne požiadavky sme jednoznačne definovali a zdokumentovali. Každá dodávka čerstvého ovocia a zeleniny sa kontroluje podľa katalógu kvalitatívnych požiadaviek stanovených pre každý druh čerstvého ovocia a zeleniny. V prípade, ak kvalita dodávok nie je v súlade so stanovenými kvalitatívnymi požiadavkami, sú výsledky takejto kontroly zdokumentované zodpovednými zamestnancami na príjme tovaru.</w:t>
      </w:r>
    </w:p>
    <w:p w14:paraId="3BB40F10"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b/>
          <w:bCs/>
          <w:kern w:val="24"/>
          <w:sz w:val="24"/>
          <w:szCs w:val="24"/>
        </w:rPr>
        <w:t>Spoľahliví dodávatelia</w:t>
      </w:r>
      <w:r w:rsidRPr="00A31CE5">
        <w:rPr>
          <w:rFonts w:ascii="Times New Roman" w:eastAsiaTheme="majorEastAsia" w:hAnsi="Times New Roman" w:cs="Times New Roman"/>
          <w:kern w:val="24"/>
          <w:sz w:val="24"/>
          <w:szCs w:val="24"/>
        </w:rPr>
        <w:t xml:space="preserve"> – Na to, aby bolo možné trvalo dosahovať vysoké požiadavky spoločnosti Lidl na kvalitu čerstvého ovocia a zeleniny, sú naši obchodní partneri povinní spĺňať štandardy medzinárodných certifikačných systémov v tomto odvetví. Dodávatelia, ktorí sú úspešne certifikovaní podľa štandardov GLOBALG.A.P., predstavujúce systém kvality</w:t>
      </w:r>
    </w:p>
    <w:p w14:paraId="00BCC0D0" w14:textId="301F4FF2" w:rsid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 xml:space="preserve">v poľnohospodárskom sektore, napríklad takto preukazujú svoju kompetenciu týkajúcu sa bezpečnej a trvalo udržateľnej produkcie. Dodávatelia, ktorí ešte okrem toho dosiahli aj úspešnú certifikáciu podľa modulu GLOBALG.A.P. GRASP (GLOBALG.A.P. Risk </w:t>
      </w:r>
      <w:r w:rsidRPr="00A31CE5">
        <w:rPr>
          <w:rFonts w:ascii="Times New Roman" w:eastAsiaTheme="majorEastAsia" w:hAnsi="Times New Roman" w:cs="Times New Roman"/>
          <w:kern w:val="24"/>
          <w:sz w:val="24"/>
          <w:szCs w:val="24"/>
        </w:rPr>
        <w:lastRenderedPageBreak/>
        <w:t>Assesmment on Social Practice), preukazujú dodržiavanie požiadaviek v sociálnej oblasti a dodržiavanie pracovných postupov.</w:t>
      </w:r>
    </w:p>
    <w:p w14:paraId="5D407FCE"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b/>
          <w:bCs/>
          <w:kern w:val="24"/>
          <w:sz w:val="24"/>
          <w:szCs w:val="24"/>
        </w:rPr>
        <w:t>Kvalita kontrolných procesov</w:t>
      </w:r>
      <w:r w:rsidRPr="00A31CE5">
        <w:rPr>
          <w:rFonts w:ascii="Times New Roman" w:eastAsiaTheme="majorEastAsia" w:hAnsi="Times New Roman" w:cs="Times New Roman"/>
          <w:kern w:val="24"/>
          <w:sz w:val="24"/>
          <w:szCs w:val="24"/>
        </w:rPr>
        <w:t xml:space="preserve"> – kvalita kontrolných procesov predstavuje podstatnú súčasť každého systému riadenia kvality. Všetky laboratóriá, s ktorými spolupracujeme, sú akreditované a spĺňajú požiadavky podľa normy DIN EN ISO/IEC 17025. Okrem toho sú schválené ako testovacie laboratóriá pre čerstvé ovocie a zele ninu. Zároveň sa aj my pravidelne</w:t>
      </w:r>
    </w:p>
    <w:p w14:paraId="0E73F969"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presviedčame o kvalite „našich“ laboratórií. Pravidelne v nich uskutočňujeme neohlásené testy, tzv. kruhové testy, ktoré s pomocou odborníkov preverujú výkonnosť laboratórií a  sú hnacou silou neustáleho rozvoja a zlepšovania našich poskytovateľov služieb.</w:t>
      </w:r>
    </w:p>
    <w:p w14:paraId="3C4AC1D8" w14:textId="6C47E2B3" w:rsid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b/>
          <w:bCs/>
          <w:kern w:val="24"/>
          <w:sz w:val="24"/>
          <w:szCs w:val="24"/>
        </w:rPr>
        <w:t>Kvalita procesov zabezpečenia kvality</w:t>
      </w:r>
      <w:r w:rsidRPr="00A31CE5">
        <w:rPr>
          <w:rFonts w:ascii="Times New Roman" w:eastAsiaTheme="majorEastAsia" w:hAnsi="Times New Roman" w:cs="Times New Roman"/>
          <w:kern w:val="24"/>
          <w:sz w:val="24"/>
          <w:szCs w:val="24"/>
        </w:rPr>
        <w:t xml:space="preserve"> – externe a nezávisle sa preveruje dokonca aj kvalita nášho systému zabezpečenia a kontroly kvality. Všetky naše procesy kvality zodpovedajú požiadavkám medzinárodnej normy ISO 9001:2005 a sú preverované nezávislým externým inštitútom v rámci certifikačného auditu.</w:t>
      </w:r>
    </w:p>
    <w:p w14:paraId="1CD0E3B7" w14:textId="60B966A3" w:rsidR="00A31CE5" w:rsidRPr="00A31CE5" w:rsidRDefault="00A31CE5" w:rsidP="00A31CE5">
      <w:pPr>
        <w:spacing w:line="360" w:lineRule="auto"/>
        <w:jc w:val="both"/>
        <w:rPr>
          <w:rFonts w:ascii="Times New Roman" w:eastAsiaTheme="majorEastAsia" w:hAnsi="Times New Roman" w:cs="Times New Roman"/>
          <w:b/>
          <w:bCs/>
          <w:kern w:val="24"/>
          <w:sz w:val="24"/>
          <w:szCs w:val="24"/>
        </w:rPr>
      </w:pPr>
      <w:r w:rsidRPr="00A31CE5">
        <w:rPr>
          <w:rFonts w:ascii="Times New Roman" w:eastAsiaTheme="majorEastAsia" w:hAnsi="Times New Roman" w:cs="Times New Roman"/>
          <w:b/>
          <w:bCs/>
          <w:kern w:val="24"/>
          <w:sz w:val="24"/>
          <w:szCs w:val="24"/>
        </w:rPr>
        <w:t>Použitá literatúra:</w:t>
      </w:r>
    </w:p>
    <w:p w14:paraId="2619D716" w14:textId="0E1AAB2F"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https://www.apa.sk/</w:t>
      </w:r>
      <w:r w:rsidRPr="00A31CE5">
        <w:rPr>
          <w:rFonts w:ascii="Times New Roman" w:eastAsiaTheme="majorEastAsia" w:hAnsi="Times New Roman" w:cs="Times New Roman"/>
          <w:kern w:val="24"/>
          <w:sz w:val="24"/>
          <w:szCs w:val="24"/>
        </w:rPr>
        <w:br/>
        <w:t>https://www.mpsr.sk/</w:t>
      </w:r>
      <w:r w:rsidRPr="00A31CE5">
        <w:rPr>
          <w:rFonts w:ascii="Times New Roman" w:eastAsiaTheme="majorEastAsia" w:hAnsi="Times New Roman" w:cs="Times New Roman"/>
          <w:kern w:val="24"/>
          <w:sz w:val="24"/>
          <w:szCs w:val="24"/>
        </w:rPr>
        <w:br/>
        <w:t>https://www.sppk.sk/</w:t>
      </w:r>
      <w:r w:rsidRPr="00A31CE5">
        <w:rPr>
          <w:rFonts w:ascii="Times New Roman" w:eastAsiaTheme="majorEastAsia" w:hAnsi="Times New Roman" w:cs="Times New Roman"/>
          <w:kern w:val="24"/>
          <w:sz w:val="24"/>
          <w:szCs w:val="24"/>
        </w:rPr>
        <w:br/>
        <w:t>Vízia spoločných postupov pri budovaní moderného pôdohospodárstva v horizonte roku 2035</w:t>
      </w:r>
      <w:r w:rsidRPr="00A31CE5">
        <w:rPr>
          <w:rFonts w:ascii="Times New Roman" w:eastAsiaTheme="majorEastAsia" w:hAnsi="Times New Roman" w:cs="Times New Roman"/>
          <w:kern w:val="24"/>
          <w:sz w:val="24"/>
          <w:szCs w:val="24"/>
        </w:rPr>
        <w:br/>
        <w:t>Strategický plán spoločnej poľnohospodárskej politiky 2023-2027</w:t>
      </w:r>
      <w:r w:rsidRPr="00A31CE5">
        <w:rPr>
          <w:rFonts w:ascii="Times New Roman" w:eastAsiaTheme="majorEastAsia" w:hAnsi="Times New Roman" w:cs="Times New Roman"/>
          <w:kern w:val="24"/>
          <w:sz w:val="24"/>
          <w:szCs w:val="24"/>
        </w:rPr>
        <w:br/>
        <w:t>NAGYOVÁ, Ľudmila a kol. 2012. Trendy v spotrebiteľskom správaní na trhu potravinárskych produktov v SR.. Nitra : Slovenská poľnohospodárska univerzita v Nitre. 83 s. ISBN 978-80-552-0899-2.</w:t>
      </w:r>
      <w:r w:rsidRPr="00A31CE5">
        <w:rPr>
          <w:rFonts w:ascii="Times New Roman" w:eastAsiaTheme="majorEastAsia" w:hAnsi="Times New Roman" w:cs="Times New Roman"/>
          <w:kern w:val="24"/>
          <w:sz w:val="24"/>
          <w:szCs w:val="24"/>
        </w:rPr>
        <w:br/>
        <w:t>https://spolocenskazodpovednost.sk/sites/default/files/stanoviska/stanovisko-_cerstve_ovocie_a_zelenina.pdf</w:t>
      </w:r>
      <w:r w:rsidRPr="00A31CE5">
        <w:rPr>
          <w:rFonts w:ascii="Times New Roman" w:eastAsiaTheme="majorEastAsia" w:hAnsi="Times New Roman" w:cs="Times New Roman"/>
          <w:kern w:val="24"/>
          <w:sz w:val="24"/>
          <w:szCs w:val="24"/>
        </w:rPr>
        <w:br/>
      </w:r>
    </w:p>
    <w:sectPr w:rsidR="00A31CE5" w:rsidRPr="00A31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5353"/>
    <w:multiLevelType w:val="hybridMultilevel"/>
    <w:tmpl w:val="DEBA3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3A35C2B"/>
    <w:multiLevelType w:val="hybridMultilevel"/>
    <w:tmpl w:val="5C2C73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93A0B71"/>
    <w:multiLevelType w:val="hybridMultilevel"/>
    <w:tmpl w:val="20C23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5C36C24"/>
    <w:multiLevelType w:val="hybridMultilevel"/>
    <w:tmpl w:val="BFA0EBCC"/>
    <w:lvl w:ilvl="0" w:tplc="92E0114E">
      <w:start w:val="1"/>
      <w:numFmt w:val="upperLetter"/>
      <w:lvlText w:val="%1."/>
      <w:lvlJc w:val="left"/>
      <w:pPr>
        <w:tabs>
          <w:tab w:val="num" w:pos="720"/>
        </w:tabs>
        <w:ind w:left="720" w:hanging="360"/>
      </w:pPr>
    </w:lvl>
    <w:lvl w:ilvl="1" w:tplc="1BEA65EC" w:tentative="1">
      <w:start w:val="1"/>
      <w:numFmt w:val="upperLetter"/>
      <w:lvlText w:val="%2."/>
      <w:lvlJc w:val="left"/>
      <w:pPr>
        <w:tabs>
          <w:tab w:val="num" w:pos="1440"/>
        </w:tabs>
        <w:ind w:left="1440" w:hanging="360"/>
      </w:pPr>
    </w:lvl>
    <w:lvl w:ilvl="2" w:tplc="7D689A4E" w:tentative="1">
      <w:start w:val="1"/>
      <w:numFmt w:val="upperLetter"/>
      <w:lvlText w:val="%3."/>
      <w:lvlJc w:val="left"/>
      <w:pPr>
        <w:tabs>
          <w:tab w:val="num" w:pos="2160"/>
        </w:tabs>
        <w:ind w:left="2160" w:hanging="360"/>
      </w:pPr>
    </w:lvl>
    <w:lvl w:ilvl="3" w:tplc="13D42798" w:tentative="1">
      <w:start w:val="1"/>
      <w:numFmt w:val="upperLetter"/>
      <w:lvlText w:val="%4."/>
      <w:lvlJc w:val="left"/>
      <w:pPr>
        <w:tabs>
          <w:tab w:val="num" w:pos="2880"/>
        </w:tabs>
        <w:ind w:left="2880" w:hanging="360"/>
      </w:pPr>
    </w:lvl>
    <w:lvl w:ilvl="4" w:tplc="347CC724" w:tentative="1">
      <w:start w:val="1"/>
      <w:numFmt w:val="upperLetter"/>
      <w:lvlText w:val="%5."/>
      <w:lvlJc w:val="left"/>
      <w:pPr>
        <w:tabs>
          <w:tab w:val="num" w:pos="3600"/>
        </w:tabs>
        <w:ind w:left="3600" w:hanging="360"/>
      </w:pPr>
    </w:lvl>
    <w:lvl w:ilvl="5" w:tplc="5EE05646" w:tentative="1">
      <w:start w:val="1"/>
      <w:numFmt w:val="upperLetter"/>
      <w:lvlText w:val="%6."/>
      <w:lvlJc w:val="left"/>
      <w:pPr>
        <w:tabs>
          <w:tab w:val="num" w:pos="4320"/>
        </w:tabs>
        <w:ind w:left="4320" w:hanging="360"/>
      </w:pPr>
    </w:lvl>
    <w:lvl w:ilvl="6" w:tplc="3C9CBCBC" w:tentative="1">
      <w:start w:val="1"/>
      <w:numFmt w:val="upperLetter"/>
      <w:lvlText w:val="%7."/>
      <w:lvlJc w:val="left"/>
      <w:pPr>
        <w:tabs>
          <w:tab w:val="num" w:pos="5040"/>
        </w:tabs>
        <w:ind w:left="5040" w:hanging="360"/>
      </w:pPr>
    </w:lvl>
    <w:lvl w:ilvl="7" w:tplc="068EC236" w:tentative="1">
      <w:start w:val="1"/>
      <w:numFmt w:val="upperLetter"/>
      <w:lvlText w:val="%8."/>
      <w:lvlJc w:val="left"/>
      <w:pPr>
        <w:tabs>
          <w:tab w:val="num" w:pos="5760"/>
        </w:tabs>
        <w:ind w:left="5760" w:hanging="360"/>
      </w:pPr>
    </w:lvl>
    <w:lvl w:ilvl="8" w:tplc="1C1A8E20" w:tentative="1">
      <w:start w:val="1"/>
      <w:numFmt w:val="upperLetter"/>
      <w:lvlText w:val="%9."/>
      <w:lvlJc w:val="left"/>
      <w:pPr>
        <w:tabs>
          <w:tab w:val="num" w:pos="6480"/>
        </w:tabs>
        <w:ind w:left="6480" w:hanging="360"/>
      </w:pPr>
    </w:lvl>
  </w:abstractNum>
  <w:abstractNum w:abstractNumId="4" w15:restartNumberingAfterBreak="0">
    <w:nsid w:val="7D271EB3"/>
    <w:multiLevelType w:val="multilevel"/>
    <w:tmpl w:val="75FA8A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01440264">
    <w:abstractNumId w:val="4"/>
  </w:num>
  <w:num w:numId="2" w16cid:durableId="1620257198">
    <w:abstractNumId w:val="3"/>
  </w:num>
  <w:num w:numId="3" w16cid:durableId="2047560624">
    <w:abstractNumId w:val="1"/>
  </w:num>
  <w:num w:numId="4" w16cid:durableId="7948522">
    <w:abstractNumId w:val="0"/>
  </w:num>
  <w:num w:numId="5" w16cid:durableId="440685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3E"/>
    <w:rsid w:val="000350BD"/>
    <w:rsid w:val="000400A8"/>
    <w:rsid w:val="000C3034"/>
    <w:rsid w:val="00261B1F"/>
    <w:rsid w:val="002C7D38"/>
    <w:rsid w:val="003A17DA"/>
    <w:rsid w:val="003B03B9"/>
    <w:rsid w:val="003C3D3E"/>
    <w:rsid w:val="00582A2C"/>
    <w:rsid w:val="005F3F7F"/>
    <w:rsid w:val="00783DE5"/>
    <w:rsid w:val="008B3C72"/>
    <w:rsid w:val="00A31CE5"/>
    <w:rsid w:val="00A46684"/>
    <w:rsid w:val="00BD78DD"/>
    <w:rsid w:val="00E341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0C84"/>
  <w15:chartTrackingRefBased/>
  <w15:docId w15:val="{61B6D1FA-747F-498D-9AE2-F7E8A251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2C7D3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2C7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677091">
      <w:bodyDiv w:val="1"/>
      <w:marLeft w:val="0"/>
      <w:marRight w:val="0"/>
      <w:marTop w:val="0"/>
      <w:marBottom w:val="0"/>
      <w:divBdr>
        <w:top w:val="none" w:sz="0" w:space="0" w:color="auto"/>
        <w:left w:val="none" w:sz="0" w:space="0" w:color="auto"/>
        <w:bottom w:val="none" w:sz="0" w:space="0" w:color="auto"/>
        <w:right w:val="none" w:sz="0" w:space="0" w:color="auto"/>
      </w:divBdr>
      <w:divsChild>
        <w:div w:id="1057246083">
          <w:marLeft w:val="720"/>
          <w:marRight w:val="0"/>
          <w:marTop w:val="200"/>
          <w:marBottom w:val="0"/>
          <w:divBdr>
            <w:top w:val="none" w:sz="0" w:space="0" w:color="auto"/>
            <w:left w:val="none" w:sz="0" w:space="0" w:color="auto"/>
            <w:bottom w:val="none" w:sz="0" w:space="0" w:color="auto"/>
            <w:right w:val="none" w:sz="0" w:space="0" w:color="auto"/>
          </w:divBdr>
        </w:div>
        <w:div w:id="47267662">
          <w:marLeft w:val="720"/>
          <w:marRight w:val="0"/>
          <w:marTop w:val="200"/>
          <w:marBottom w:val="0"/>
          <w:divBdr>
            <w:top w:val="none" w:sz="0" w:space="0" w:color="auto"/>
            <w:left w:val="none" w:sz="0" w:space="0" w:color="auto"/>
            <w:bottom w:val="none" w:sz="0" w:space="0" w:color="auto"/>
            <w:right w:val="none" w:sz="0" w:space="0" w:color="auto"/>
          </w:divBdr>
        </w:div>
        <w:div w:id="1903440772">
          <w:marLeft w:val="720"/>
          <w:marRight w:val="0"/>
          <w:marTop w:val="200"/>
          <w:marBottom w:val="0"/>
          <w:divBdr>
            <w:top w:val="none" w:sz="0" w:space="0" w:color="auto"/>
            <w:left w:val="none" w:sz="0" w:space="0" w:color="auto"/>
            <w:bottom w:val="none" w:sz="0" w:space="0" w:color="auto"/>
            <w:right w:val="none" w:sz="0" w:space="0" w:color="auto"/>
          </w:divBdr>
        </w:div>
        <w:div w:id="1235361071">
          <w:marLeft w:val="720"/>
          <w:marRight w:val="0"/>
          <w:marTop w:val="200"/>
          <w:marBottom w:val="0"/>
          <w:divBdr>
            <w:top w:val="none" w:sz="0" w:space="0" w:color="auto"/>
            <w:left w:val="none" w:sz="0" w:space="0" w:color="auto"/>
            <w:bottom w:val="none" w:sz="0" w:space="0" w:color="auto"/>
            <w:right w:val="none" w:sz="0" w:space="0" w:color="auto"/>
          </w:divBdr>
        </w:div>
        <w:div w:id="1241406499">
          <w:marLeft w:val="720"/>
          <w:marRight w:val="0"/>
          <w:marTop w:val="200"/>
          <w:marBottom w:val="0"/>
          <w:divBdr>
            <w:top w:val="none" w:sz="0" w:space="0" w:color="auto"/>
            <w:left w:val="none" w:sz="0" w:space="0" w:color="auto"/>
            <w:bottom w:val="none" w:sz="0" w:space="0" w:color="auto"/>
            <w:right w:val="none" w:sz="0" w:space="0" w:color="auto"/>
          </w:divBdr>
        </w:div>
        <w:div w:id="424234515">
          <w:marLeft w:val="720"/>
          <w:marRight w:val="0"/>
          <w:marTop w:val="200"/>
          <w:marBottom w:val="0"/>
          <w:divBdr>
            <w:top w:val="none" w:sz="0" w:space="0" w:color="auto"/>
            <w:left w:val="none" w:sz="0" w:space="0" w:color="auto"/>
            <w:bottom w:val="none" w:sz="0" w:space="0" w:color="auto"/>
            <w:right w:val="none" w:sz="0" w:space="0" w:color="auto"/>
          </w:divBdr>
        </w:div>
        <w:div w:id="855113874">
          <w:marLeft w:val="720"/>
          <w:marRight w:val="0"/>
          <w:marTop w:val="200"/>
          <w:marBottom w:val="0"/>
          <w:divBdr>
            <w:top w:val="none" w:sz="0" w:space="0" w:color="auto"/>
            <w:left w:val="none" w:sz="0" w:space="0" w:color="auto"/>
            <w:bottom w:val="none" w:sz="0" w:space="0" w:color="auto"/>
            <w:right w:val="none" w:sz="0" w:space="0" w:color="auto"/>
          </w:divBdr>
        </w:div>
      </w:divsChild>
    </w:div>
    <w:div w:id="19189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3451</Words>
  <Characters>19676</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Šumichrast</dc:creator>
  <cp:keywords/>
  <dc:description/>
  <cp:lastModifiedBy>Jozef Šumichrast</cp:lastModifiedBy>
  <cp:revision>5</cp:revision>
  <dcterms:created xsi:type="dcterms:W3CDTF">2022-11-17T08:49:00Z</dcterms:created>
  <dcterms:modified xsi:type="dcterms:W3CDTF">2022-11-24T06:39:00Z</dcterms:modified>
</cp:coreProperties>
</file>