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54"/>
        <w:gridCol w:w="3732"/>
        <w:gridCol w:w="283"/>
        <w:gridCol w:w="426"/>
        <w:gridCol w:w="3961"/>
      </w:tblGrid>
      <w:tr w:rsidR="005B483D" w:rsidRPr="00AF70DF" w14:paraId="08EB0D29" w14:textId="77777777" w:rsidTr="005B483D">
        <w:trPr>
          <w:jc w:val="center"/>
        </w:trPr>
        <w:tc>
          <w:tcPr>
            <w:tcW w:w="361" w:type="pct"/>
            <w:tcBorders>
              <w:top w:val="outset" w:sz="6" w:space="0" w:color="000000"/>
              <w:left w:val="outset" w:sz="6" w:space="0" w:color="000000"/>
              <w:bottom w:val="outset" w:sz="6" w:space="0" w:color="000000"/>
              <w:right w:val="outset" w:sz="6" w:space="0" w:color="000000"/>
            </w:tcBorders>
            <w:hideMark/>
          </w:tcPr>
          <w:p w14:paraId="11142196"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SPPK</w:t>
            </w:r>
          </w:p>
        </w:tc>
        <w:tc>
          <w:tcPr>
            <w:tcW w:w="2061" w:type="pct"/>
            <w:tcBorders>
              <w:top w:val="outset" w:sz="6" w:space="0" w:color="000000"/>
              <w:left w:val="outset" w:sz="6" w:space="0" w:color="000000"/>
              <w:bottom w:val="outset" w:sz="6" w:space="0" w:color="000000"/>
              <w:right w:val="outset" w:sz="6" w:space="0" w:color="000000"/>
            </w:tcBorders>
            <w:vAlign w:val="center"/>
            <w:hideMark/>
          </w:tcPr>
          <w:p w14:paraId="4C5940EC" w14:textId="77777777" w:rsidR="00AF70DF" w:rsidRPr="00AF70DF" w:rsidRDefault="00AF70DF" w:rsidP="00764680">
            <w:pPr>
              <w:rPr>
                <w:rFonts w:ascii="Times" w:hAnsi="Times" w:cs="Times"/>
                <w:sz w:val="25"/>
                <w:szCs w:val="25"/>
              </w:rPr>
            </w:pPr>
            <w:r w:rsidRPr="00AF70DF">
              <w:rPr>
                <w:rFonts w:ascii="Times" w:hAnsi="Times" w:cs="Times"/>
                <w:b/>
                <w:bCs/>
                <w:sz w:val="25"/>
                <w:szCs w:val="25"/>
              </w:rPr>
              <w:t>K § 2</w:t>
            </w:r>
            <w:r w:rsidRPr="00AF70DF">
              <w:rPr>
                <w:rFonts w:ascii="Times" w:hAnsi="Times" w:cs="Times"/>
                <w:sz w:val="25"/>
                <w:szCs w:val="25"/>
              </w:rPr>
              <w:br/>
              <w:t xml:space="preserve">V § 2 navrhujeme nové znenie písmena g) a j) v nasledovnom znení: g) agrolesníckym systémom: 1. orná pôda s drevinami umiestnenými v ochranných pásoch, s líniou alebo líniami drevín, v ktorých sú dreviny usporiadané v štvorcovom, obdĺžnikovom alebo trojuholníkovom spone; ochranné pásy sú široké 1-10 m a vzdialené od seba 12-100 m; ochranné pásy a línie drevín nesmú bezprostredne susediť so susedným dielom pôdneho bloku (ďalej DPB), aj keď ho obhospodaruje ten istý užívateľ; umiestnenie pásu musí umožňovať jeho každoročnú mechanickú údržbu a obhospodarovanie DPB; počet drevín je najviac 120 kusov na hektár. 2. plocha s trvalými plodinami (ďalen TP), ak počet drevín nad rámec definícií trvalých plodín, je najviac 120 drevín na hektár; pestovanie trvalej plodiny, ktorými sú rýchlorastúce dreviny nemožno kombinovať s pestovaním iných drevín, avšak umožňuje sa pestovať domáce druhy rýchlorastúcich drevín v iných TP. Rovnako sa umožňuje vo všetkých TP pestovať poľnohospodárske plodiny v medziradí, umožňuje sa tým viacúrovňové pestovanie - syntropické poľnohospodárstvo, dynamické agrolesníctvo. Pastva zvierat sa povoľuje na všetkých plochách s TP. 3. trvalý trávny porast s drevinami udržiavaný spásaním hospodárskymi zvieratami (evidovanými v centrálnom registri hospodárskych zvierat CRHZ) s priemerným zaťažením v období od 1. júna do 30. septembra najmenej 0,3 dobytčej jednotky (pre hovädzí </w:t>
            </w:r>
            <w:r w:rsidRPr="00AF70DF">
              <w:rPr>
                <w:rFonts w:ascii="Times" w:hAnsi="Times" w:cs="Times"/>
                <w:sz w:val="25"/>
                <w:szCs w:val="25"/>
              </w:rPr>
              <w:lastRenderedPageBreak/>
              <w:t xml:space="preserve">dobytok, ošípané, ovce, kozy, kone) na hektár, alebo s hospodárskymi zvieratami neevidovanými v CRHZ najmenej 0,03 dobytčej jednotky na ha (pre sliepky, husi, kačice, morky a králiky). Dreviny sú usporiadané v líniách a/alebo roztrúsené po ploche, pri maximálnom počte 120 ks na hektár; pričom sa na ploche môže vyskytovať maximálne jedna skupina drevín o maximálnom počte stromov 20 a ploche krov nepresahujúca 400m2 súvislej zarastenej plochy na hektár. j) drevinou je cievnatá rastlina, ktorá má drevnatú nadzemnú stonku pokrytú borkou; medzi dreviny patria domáce a introdukované stromy a kry. Odôvodnenie: súčasné znenie písmena g) č. 1 zbytočne obmedzuje hospodára v možnom dizajne agrolesníckeho systému (ďalej ALS), na úkor samotných benefitov, ktoré ALS poskytujú. Navrhujeme preto znenie uvedené vyššie, ktoré nijako neobmedzuje obhospodarovanie DPB, je kontrolovateľné a zároveň je premietnuteľné aj do budúcej podpory ALS napríklad v rámci SP SPP. Obdobný dizajn povoľujú napríklad krajiny Nemecko a Česko, to isté platí aj pre ostatné body. Za kľúčovú zmenu v č. 2 považujeme umožnenie viacúrovňového pestovania drevín a plodín, ktoré efektívne obsadzuje nadzemný aj podzemný priestor a umožňuje využívanie a regeneráciu neobnoviteľného prírodného zdroja - pôdy. Dynamické agrolesníctvo a/alebo syntropické poľnohospodárstvo je jedným z najúčinnejších adaptačných a mitigačných opatrení na dopady </w:t>
            </w:r>
            <w:r w:rsidRPr="00AF70DF">
              <w:rPr>
                <w:rFonts w:ascii="Times" w:hAnsi="Times" w:cs="Times"/>
                <w:sz w:val="25"/>
                <w:szCs w:val="25"/>
              </w:rPr>
              <w:lastRenderedPageBreak/>
              <w:t xml:space="preserve">zmeny klímy. Zároveň predstavuje možnosť diverzifikácie produkcie. Č. 3 umožňuje integráciu drevín do poľnohospodárskej produkcie a to za účelom: zlepšenia životnej pohody zvierat, zlepšenia cirkulácie živín v agroekosystéme, udržateľného využívania všetkých úrovní systému za podpory žiadúcich interakcii medzi jednotlivými zložkami agroekosystému. Napríklad na reguláciu rastu burín, alebo len základné udržiavanie trávneho porastu v dobrej kondícii postačuje nižšie zaťaženie, než ako je to pri konvenčnom hospodárení, kde je hlavným cieľom produkcia ako taká. Tento návrh umožňuje oboje:intenzívny aj extenzívny manažment pastvy pod stromami, ktorý si hospodár zvolí podľa vlastných možností/zámerov. Umožnenie pestovania druhov rýchlorastúcich drevín (ďalej len RRD) v agrolesníckych systémoch (ALS): RRD: Ciele Slovenska v rámci záväzkov v NARIADENÍ EURÓPSKEHO PARLAMENTU A RADY (EÚ) 2018/841 (dalej len LULUCF) už nebude možné pokryť záchytmi uhlíka (C) v lesoch (Projekcie emisií/záchytov), kde sa očakáva výrazný pokles záchytov C, hlavne pre aktuálnu vekovú štruktúru porastov. Až 71,4% poľnohospodárskej pôdy Slovenska má takzvaný zero tree index, teda má pokryvnosť drevinami nižšiu ako 0,05%. Aj tieto plochy predstavujú nevyužitý potenciál pre implementáciu agrolesníctva a teda naplnenie medzinárodných záväzkov v sekvestrácii C. Dlhodobé štúdie zamerané na sekvestráciu C v ALS v Európe ukazujú výrazne vyššiu </w:t>
            </w:r>
            <w:r w:rsidRPr="00AF70DF">
              <w:rPr>
                <w:rFonts w:ascii="Times" w:hAnsi="Times" w:cs="Times"/>
                <w:sz w:val="25"/>
                <w:szCs w:val="25"/>
              </w:rPr>
              <w:lastRenderedPageBreak/>
              <w:t xml:space="preserve">sekvestráciu C ako v prípade monokultúr poľnohospodárskych plodín a TTP, a podobné úrovne sekvestrácie C ako v lesoch. Vysoká efektívnosť ALS v sekvestrácii C možno vysvetliť na základe viacerých faktorov. Uvádzame niekoľko z nich: - vysoké celkové výnosy vďaka efektívnejšiemu využívaniu svetla, vody a živín (Dupraz a Liagre 2009); - korene stromov sa horizontálne rozprestierajú pod trávou alebo plodinou, aby vytvorili ochrannú sieť na absorpciu živín (Van Noordwijk et al. 1996; Moreno Marcos et al. 2005); - zvýšenie biomasy jemných koreňov vo všetkých hĺbkach v ALS (Cardinael et al. 2015; Germon et al. 2015); - zlepšenie mykoríznych vzťahov medzi stromami a trávami alebo plodinami (de Carvalho et al. 2010) - zníženie straty jemnej organickej hmoty veternou a vodnou eróziou (Quinkenstein et al. 2009). Potenciál sekvestrácie C v samotnej nadzemnej biomase ALS sa v EÚ-27 (plus Švajčiarsko) odhaduje na 0,3-27 t CO2/ha/rok (Kay et al. 2019). Tento odhad nezahŕňa podzemný organický C, takže možno očakávať, že celkový potenciál ALS bude oveľa vyšší. Posledná rozsiahla metaanalýza dospela k záveru, že ALS predstavujú jedno z najperspektívnejších poľnohospodárskych opatrení na zmiernenie zmeny klímy a adaptáciu na ňu (Mayer et al. 2022). Ak by sme len 10% ornej pôdy na Slovensku premenili na ALS, pričom by sme počítali s konzervatívnym údajom 1 tona sekvestrovaného uhlíka na ha a rok, </w:t>
            </w:r>
            <w:r w:rsidRPr="00AF70DF">
              <w:rPr>
                <w:rFonts w:ascii="Times" w:hAnsi="Times" w:cs="Times"/>
                <w:sz w:val="25"/>
                <w:szCs w:val="25"/>
              </w:rPr>
              <w:lastRenderedPageBreak/>
              <w:t>dostali by sme 140 tisíc tC.rok-1 len pre ornú pôdu a len v nadzemnej biomase drevín (najoptimistickejšie scenáre uvádzajú po 60tich rokoch až 133 tC.ha-1 pri ALS na vysoko bonitnej pôde a použití stredne až rýchlo rastúcich druhov drevín, ako sú čerešňa, hybridné topole a orechy) (PALMA, Joao HN, et al. Modeling environmental benefits of silvoarable agroforestry in Europe). Medzi najčastejšie pestované druhy stromov v ALS na ornej pôde patria: jasene, orechy, topole, čerešne, duby a agáty (Mosquera-Losada et al. 2009, 2011; Nerlich et al. 2013; Burgess and Rosati 2018; Augére- Granier 2020). Bez RRD v ALS nie je možné dosiahnutie cieľov stanovených v LULUCF najmä záväzok spoločne dosiahnuť klimatickú neutralitu do roku 2035 v sektore využívania pôdy, lesného hospodárstva a poľnohospodárstva. Poľnohospodár stráca možnosť flexibility, diverzifikácie v rámci svojich prírodných a ekonomických špecifík. Nemožnosť pestovať druhy RRD v ALS popiera všetky svetové definície ALS. Domáce druhy rýchlorastúcich drevín navyše nie sú ekonomicky rentabilné (tržby z drevnej hmoty vrátane dotácií nepokryjú náklady na výsadbu a ťažbu).</w:t>
            </w:r>
          </w:p>
        </w:tc>
        <w:tc>
          <w:tcPr>
            <w:tcW w:w="156" w:type="pct"/>
            <w:tcBorders>
              <w:top w:val="outset" w:sz="6" w:space="0" w:color="000000"/>
              <w:left w:val="outset" w:sz="6" w:space="0" w:color="000000"/>
              <w:bottom w:val="outset" w:sz="6" w:space="0" w:color="000000"/>
              <w:right w:val="outset" w:sz="6" w:space="0" w:color="000000"/>
            </w:tcBorders>
            <w:vAlign w:val="center"/>
            <w:hideMark/>
          </w:tcPr>
          <w:p w14:paraId="171C77E0"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lastRenderedPageBreak/>
              <w:t>Z</w:t>
            </w:r>
          </w:p>
        </w:tc>
        <w:tc>
          <w:tcPr>
            <w:tcW w:w="235" w:type="pct"/>
            <w:tcBorders>
              <w:top w:val="outset" w:sz="6" w:space="0" w:color="000000"/>
              <w:left w:val="outset" w:sz="6" w:space="0" w:color="000000"/>
              <w:bottom w:val="outset" w:sz="6" w:space="0" w:color="000000"/>
              <w:right w:val="outset" w:sz="6" w:space="0" w:color="000000"/>
            </w:tcBorders>
          </w:tcPr>
          <w:p w14:paraId="3A2F938F" w14:textId="77777777" w:rsidR="00AF70DF" w:rsidRPr="00AF70DF" w:rsidRDefault="00AF70DF" w:rsidP="00764680">
            <w:pPr>
              <w:jc w:val="center"/>
              <w:rPr>
                <w:rFonts w:ascii="Times" w:hAnsi="Times" w:cs="Times"/>
                <w:b/>
                <w:bCs/>
                <w:sz w:val="25"/>
                <w:szCs w:val="25"/>
              </w:rPr>
            </w:pPr>
          </w:p>
          <w:p w14:paraId="4E3C9DDB" w14:textId="77777777" w:rsidR="00AF70DF" w:rsidRPr="00AF70DF" w:rsidRDefault="00AF70DF" w:rsidP="00764680">
            <w:pPr>
              <w:jc w:val="center"/>
              <w:rPr>
                <w:rFonts w:ascii="Times" w:hAnsi="Times" w:cs="Times"/>
                <w:b/>
                <w:bCs/>
                <w:sz w:val="25"/>
                <w:szCs w:val="25"/>
              </w:rPr>
            </w:pPr>
          </w:p>
          <w:p w14:paraId="0680AA49"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N</w:t>
            </w:r>
          </w:p>
        </w:tc>
        <w:tc>
          <w:tcPr>
            <w:tcW w:w="2187" w:type="pct"/>
            <w:tcBorders>
              <w:top w:val="outset" w:sz="6" w:space="0" w:color="000000"/>
              <w:left w:val="outset" w:sz="6" w:space="0" w:color="000000"/>
              <w:bottom w:val="outset" w:sz="6" w:space="0" w:color="000000"/>
              <w:right w:val="outset" w:sz="6" w:space="0" w:color="000000"/>
            </w:tcBorders>
          </w:tcPr>
          <w:p w14:paraId="3CCB4105" w14:textId="7693893A" w:rsidR="00866AB5" w:rsidRDefault="00AF70DF" w:rsidP="00764680">
            <w:pPr>
              <w:rPr>
                <w:rFonts w:ascii="Times" w:hAnsi="Times" w:cs="Times"/>
                <w:sz w:val="25"/>
                <w:szCs w:val="25"/>
              </w:rPr>
            </w:pPr>
            <w:r w:rsidRPr="00AF70DF">
              <w:rPr>
                <w:rFonts w:ascii="Times" w:hAnsi="Times" w:cs="Times"/>
                <w:sz w:val="25"/>
                <w:szCs w:val="25"/>
              </w:rPr>
              <w:t xml:space="preserve">Návrh úpravy definície nie je v súlade so znením schváleným </w:t>
            </w:r>
            <w:r w:rsidR="00526E51">
              <w:rPr>
                <w:rFonts w:ascii="Times" w:hAnsi="Times" w:cs="Times"/>
                <w:sz w:val="25"/>
                <w:szCs w:val="25"/>
              </w:rPr>
              <w:t>v Strategickom pláne Spoločnej poľnohospodárskej politiky,</w:t>
            </w:r>
            <w:r w:rsidRPr="00AF70DF">
              <w:rPr>
                <w:rFonts w:ascii="Times" w:hAnsi="Times" w:cs="Times"/>
                <w:sz w:val="25"/>
                <w:szCs w:val="25"/>
              </w:rPr>
              <w:t xml:space="preserve"> ktoré bolo prerokované a predložené na schválenie </w:t>
            </w:r>
            <w:r w:rsidR="00526E51">
              <w:rPr>
                <w:rFonts w:ascii="Times" w:hAnsi="Times" w:cs="Times"/>
                <w:sz w:val="25"/>
                <w:szCs w:val="25"/>
              </w:rPr>
              <w:t>Európskej Komisii</w:t>
            </w:r>
            <w:r w:rsidRPr="00AF70DF">
              <w:rPr>
                <w:rFonts w:ascii="Times" w:hAnsi="Times" w:cs="Times"/>
                <w:sz w:val="25"/>
                <w:szCs w:val="25"/>
              </w:rPr>
              <w:t>.</w:t>
            </w:r>
            <w:r w:rsidR="00866AB5">
              <w:rPr>
                <w:rFonts w:ascii="Times" w:hAnsi="Times" w:cs="Times"/>
                <w:sz w:val="25"/>
                <w:szCs w:val="25"/>
              </w:rPr>
              <w:t xml:space="preserve"> Zároveň úpravu vymedzenia pojmu „agrolesnícky systém“</w:t>
            </w:r>
            <w:r w:rsidR="00FA5200">
              <w:rPr>
                <w:rFonts w:ascii="Times" w:hAnsi="Times" w:cs="Times"/>
                <w:sz w:val="25"/>
                <w:szCs w:val="25"/>
              </w:rPr>
              <w:t xml:space="preserve"> požadovanú pripomienkujúcim subjektom považujeme za obmedzujúcejšiu</w:t>
            </w:r>
            <w:r w:rsidR="003D5811">
              <w:rPr>
                <w:rFonts w:ascii="Times" w:hAnsi="Times" w:cs="Times"/>
                <w:sz w:val="25"/>
                <w:szCs w:val="25"/>
              </w:rPr>
              <w:t xml:space="preserve"> a menej priaznivú </w:t>
            </w:r>
            <w:r w:rsidR="00FA5200">
              <w:rPr>
                <w:rFonts w:ascii="Times" w:hAnsi="Times" w:cs="Times"/>
                <w:sz w:val="25"/>
                <w:szCs w:val="25"/>
              </w:rPr>
              <w:t xml:space="preserve"> pre poľnohospodára oproti definícii navrhovanej predkladateľom. </w:t>
            </w:r>
          </w:p>
          <w:p w14:paraId="429085FD" w14:textId="07D3A2E8" w:rsidR="00FA5200" w:rsidRPr="00866AB5" w:rsidRDefault="00FA5200" w:rsidP="00764680">
            <w:pPr>
              <w:rPr>
                <w:rFonts w:ascii="Times" w:hAnsi="Times" w:cs="Times"/>
                <w:sz w:val="25"/>
                <w:szCs w:val="25"/>
              </w:rPr>
            </w:pPr>
            <w:r>
              <w:rPr>
                <w:rFonts w:ascii="Times" w:hAnsi="Times" w:cs="Times"/>
                <w:sz w:val="25"/>
                <w:szCs w:val="25"/>
              </w:rPr>
              <w:t>Na on-line rozporovom konaní dňa 4. 12. 2023 rozpor nebol odstránený.</w:t>
            </w:r>
          </w:p>
          <w:p w14:paraId="3E742638" w14:textId="77777777" w:rsidR="00AF70DF" w:rsidRPr="00AF70DF" w:rsidRDefault="00AF70DF" w:rsidP="00764680">
            <w:pPr>
              <w:rPr>
                <w:rFonts w:ascii="Times" w:hAnsi="Times" w:cs="Times"/>
                <w:b/>
                <w:bCs/>
                <w:sz w:val="25"/>
                <w:szCs w:val="25"/>
              </w:rPr>
            </w:pPr>
          </w:p>
        </w:tc>
      </w:tr>
      <w:tr w:rsidR="005B483D" w:rsidRPr="00AF70DF" w14:paraId="0F92C678" w14:textId="77777777" w:rsidTr="005B483D">
        <w:trPr>
          <w:jc w:val="center"/>
        </w:trPr>
        <w:tc>
          <w:tcPr>
            <w:tcW w:w="361" w:type="pct"/>
            <w:tcBorders>
              <w:top w:val="outset" w:sz="6" w:space="0" w:color="000000"/>
              <w:left w:val="outset" w:sz="6" w:space="0" w:color="000000"/>
              <w:bottom w:val="outset" w:sz="6" w:space="0" w:color="000000"/>
              <w:right w:val="outset" w:sz="6" w:space="0" w:color="000000"/>
            </w:tcBorders>
            <w:hideMark/>
          </w:tcPr>
          <w:p w14:paraId="3C649711"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lastRenderedPageBreak/>
              <w:t>SPPK</w:t>
            </w:r>
          </w:p>
        </w:tc>
        <w:tc>
          <w:tcPr>
            <w:tcW w:w="2061" w:type="pct"/>
            <w:tcBorders>
              <w:top w:val="outset" w:sz="6" w:space="0" w:color="000000"/>
              <w:left w:val="outset" w:sz="6" w:space="0" w:color="000000"/>
              <w:bottom w:val="outset" w:sz="6" w:space="0" w:color="000000"/>
              <w:right w:val="outset" w:sz="6" w:space="0" w:color="000000"/>
            </w:tcBorders>
            <w:vAlign w:val="center"/>
            <w:hideMark/>
          </w:tcPr>
          <w:p w14:paraId="7A04315A" w14:textId="77777777" w:rsidR="00AF70DF" w:rsidRPr="00AF70DF" w:rsidRDefault="00AF70DF" w:rsidP="00764680">
            <w:pPr>
              <w:rPr>
                <w:rFonts w:ascii="Times" w:hAnsi="Times" w:cs="Times"/>
                <w:sz w:val="25"/>
                <w:szCs w:val="25"/>
              </w:rPr>
            </w:pPr>
            <w:r w:rsidRPr="00AF70DF">
              <w:rPr>
                <w:rFonts w:ascii="Times" w:hAnsi="Times" w:cs="Times"/>
                <w:b/>
                <w:bCs/>
                <w:sz w:val="25"/>
                <w:szCs w:val="25"/>
              </w:rPr>
              <w:t>K § 4, ods. 6, písm. d)</w:t>
            </w:r>
            <w:r w:rsidRPr="00AF70DF">
              <w:rPr>
                <w:rFonts w:ascii="Times" w:hAnsi="Times" w:cs="Times"/>
                <w:sz w:val="25"/>
                <w:szCs w:val="25"/>
              </w:rPr>
              <w:br/>
              <w:t>V § 4 ods. 6 v písm. d) navrhujeme za slovo „rastlinnej“ doplniť „a živočíšnej“. Odôvodnenie: pri porovnávaní všetkých priamych platieb sa musia zahrnúť aj všetky príjmy z poľnohospodárstva.</w:t>
            </w:r>
          </w:p>
        </w:tc>
        <w:tc>
          <w:tcPr>
            <w:tcW w:w="156" w:type="pct"/>
            <w:tcBorders>
              <w:top w:val="outset" w:sz="6" w:space="0" w:color="000000"/>
              <w:left w:val="outset" w:sz="6" w:space="0" w:color="000000"/>
              <w:bottom w:val="outset" w:sz="6" w:space="0" w:color="000000"/>
              <w:right w:val="outset" w:sz="6" w:space="0" w:color="000000"/>
            </w:tcBorders>
            <w:vAlign w:val="center"/>
            <w:hideMark/>
          </w:tcPr>
          <w:p w14:paraId="0DE64328"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Z</w:t>
            </w:r>
          </w:p>
        </w:tc>
        <w:tc>
          <w:tcPr>
            <w:tcW w:w="235" w:type="pct"/>
            <w:tcBorders>
              <w:top w:val="outset" w:sz="6" w:space="0" w:color="000000"/>
              <w:left w:val="outset" w:sz="6" w:space="0" w:color="000000"/>
              <w:bottom w:val="outset" w:sz="6" w:space="0" w:color="000000"/>
              <w:right w:val="outset" w:sz="6" w:space="0" w:color="000000"/>
            </w:tcBorders>
          </w:tcPr>
          <w:p w14:paraId="55AB19F1" w14:textId="77777777" w:rsidR="00AF70DF" w:rsidRPr="00AF70DF" w:rsidRDefault="00AF70DF" w:rsidP="00764680">
            <w:pPr>
              <w:jc w:val="center"/>
              <w:rPr>
                <w:rFonts w:ascii="Times" w:hAnsi="Times" w:cs="Times"/>
                <w:b/>
                <w:bCs/>
                <w:sz w:val="25"/>
                <w:szCs w:val="25"/>
              </w:rPr>
            </w:pPr>
          </w:p>
          <w:p w14:paraId="200F062C"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N</w:t>
            </w:r>
          </w:p>
        </w:tc>
        <w:tc>
          <w:tcPr>
            <w:tcW w:w="2187" w:type="pct"/>
            <w:tcBorders>
              <w:top w:val="outset" w:sz="6" w:space="0" w:color="000000"/>
              <w:left w:val="outset" w:sz="6" w:space="0" w:color="000000"/>
              <w:bottom w:val="outset" w:sz="6" w:space="0" w:color="000000"/>
              <w:right w:val="outset" w:sz="6" w:space="0" w:color="000000"/>
            </w:tcBorders>
          </w:tcPr>
          <w:p w14:paraId="5273C8F8" w14:textId="77777777" w:rsidR="00AF70DF" w:rsidRDefault="00AF70DF" w:rsidP="00D17E7D">
            <w:pPr>
              <w:rPr>
                <w:rFonts w:ascii="Times" w:hAnsi="Times" w:cs="Times"/>
                <w:bCs/>
                <w:sz w:val="25"/>
                <w:szCs w:val="25"/>
              </w:rPr>
            </w:pPr>
            <w:r w:rsidRPr="00AF70DF">
              <w:rPr>
                <w:rFonts w:ascii="Times" w:hAnsi="Times" w:cs="Times"/>
                <w:bCs/>
                <w:sz w:val="25"/>
                <w:szCs w:val="25"/>
              </w:rPr>
              <w:t>Pripomienka nie je v súlade so znením schválen</w:t>
            </w:r>
            <w:r w:rsidR="00FA5200">
              <w:rPr>
                <w:rFonts w:ascii="Times" w:hAnsi="Times" w:cs="Times"/>
                <w:bCs/>
                <w:sz w:val="25"/>
                <w:szCs w:val="25"/>
              </w:rPr>
              <w:t>ého</w:t>
            </w:r>
            <w:r w:rsidRPr="00AF70DF">
              <w:rPr>
                <w:rFonts w:ascii="Times" w:hAnsi="Times" w:cs="Times"/>
                <w:bCs/>
                <w:sz w:val="25"/>
                <w:szCs w:val="25"/>
              </w:rPr>
              <w:t xml:space="preserve"> </w:t>
            </w:r>
            <w:r w:rsidR="00FA5200">
              <w:rPr>
                <w:rFonts w:ascii="Times" w:hAnsi="Times" w:cs="Times"/>
                <w:bCs/>
                <w:sz w:val="25"/>
                <w:szCs w:val="25"/>
              </w:rPr>
              <w:t xml:space="preserve">Strategického plánu Spoločnej poľnohospodárskej politiky 2023 – 2027, </w:t>
            </w:r>
            <w:r w:rsidRPr="00AF70DF">
              <w:rPr>
                <w:rFonts w:ascii="Times" w:hAnsi="Times" w:cs="Times"/>
                <w:bCs/>
                <w:sz w:val="25"/>
                <w:szCs w:val="25"/>
              </w:rPr>
              <w:t xml:space="preserve">ktoré bolo prerokované a predložené na schválenie </w:t>
            </w:r>
            <w:r w:rsidR="00FA5200">
              <w:rPr>
                <w:rFonts w:ascii="Times" w:hAnsi="Times" w:cs="Times"/>
                <w:bCs/>
                <w:sz w:val="25"/>
                <w:szCs w:val="25"/>
              </w:rPr>
              <w:t>Európskej Komisii</w:t>
            </w:r>
            <w:r w:rsidRPr="00AF70DF">
              <w:rPr>
                <w:rFonts w:ascii="Times" w:hAnsi="Times" w:cs="Times"/>
                <w:bCs/>
                <w:sz w:val="25"/>
                <w:szCs w:val="25"/>
              </w:rPr>
              <w:t>. V rámci prípravy 1. modifikácie S</w:t>
            </w:r>
            <w:r w:rsidR="00FA5200">
              <w:rPr>
                <w:rFonts w:ascii="Times" w:hAnsi="Times" w:cs="Times"/>
                <w:bCs/>
                <w:sz w:val="25"/>
                <w:szCs w:val="25"/>
              </w:rPr>
              <w:t>trategického plánu bol</w:t>
            </w:r>
            <w:r w:rsidRPr="00AF70DF">
              <w:rPr>
                <w:rFonts w:ascii="Times" w:hAnsi="Times" w:cs="Times"/>
                <w:bCs/>
                <w:sz w:val="25"/>
                <w:szCs w:val="25"/>
              </w:rPr>
              <w:t xml:space="preserve"> zapracovaný návrh od SPPK a akceptovaný zo strany EK</w:t>
            </w:r>
            <w:r w:rsidR="00D17E7D">
              <w:rPr>
                <w:rFonts w:ascii="Times" w:hAnsi="Times" w:cs="Times"/>
                <w:bCs/>
                <w:sz w:val="25"/>
                <w:szCs w:val="25"/>
              </w:rPr>
              <w:t xml:space="preserve"> </w:t>
            </w:r>
            <w:r w:rsidR="00D17E7D">
              <w:rPr>
                <w:rFonts w:ascii="Times" w:hAnsi="Times" w:cs="Times"/>
                <w:bCs/>
                <w:sz w:val="25"/>
                <w:szCs w:val="25"/>
              </w:rPr>
              <w:lastRenderedPageBreak/>
              <w:t>a vychádza z neho aj navrhované znenie § 4 ods. 6 písm. d)</w:t>
            </w:r>
            <w:r w:rsidRPr="00AF70DF">
              <w:rPr>
                <w:rFonts w:ascii="Times" w:hAnsi="Times" w:cs="Times"/>
                <w:bCs/>
                <w:sz w:val="25"/>
                <w:szCs w:val="25"/>
              </w:rPr>
              <w:t xml:space="preserve">. </w:t>
            </w:r>
            <w:r w:rsidR="00D17E7D">
              <w:rPr>
                <w:rFonts w:ascii="Times" w:hAnsi="Times" w:cs="Times"/>
                <w:bCs/>
                <w:sz w:val="25"/>
                <w:szCs w:val="25"/>
              </w:rPr>
              <w:t>V tomto</w:t>
            </w:r>
            <w:r w:rsidRPr="00AF70DF">
              <w:rPr>
                <w:rFonts w:ascii="Times" w:hAnsi="Times" w:cs="Times"/>
                <w:bCs/>
                <w:sz w:val="25"/>
                <w:szCs w:val="25"/>
              </w:rPr>
              <w:t xml:space="preserve"> návrhu od SPPK nebola </w:t>
            </w:r>
            <w:r w:rsidR="00D17E7D">
              <w:rPr>
                <w:rFonts w:ascii="Times" w:hAnsi="Times" w:cs="Times"/>
                <w:bCs/>
                <w:sz w:val="25"/>
                <w:szCs w:val="25"/>
              </w:rPr>
              <w:t xml:space="preserve">uplatnená </w:t>
            </w:r>
            <w:r w:rsidRPr="00AF70DF">
              <w:rPr>
                <w:rFonts w:ascii="Times" w:hAnsi="Times" w:cs="Times"/>
                <w:bCs/>
                <w:sz w:val="25"/>
                <w:szCs w:val="25"/>
              </w:rPr>
              <w:t>požiadavka zahrnúť aj príjmy živočíšnej výroby.</w:t>
            </w:r>
            <w:r w:rsidR="00D17E7D">
              <w:rPr>
                <w:rFonts w:ascii="Times" w:hAnsi="Times" w:cs="Times"/>
                <w:bCs/>
                <w:sz w:val="25"/>
                <w:szCs w:val="25"/>
              </w:rPr>
              <w:t xml:space="preserve"> </w:t>
            </w:r>
            <w:r w:rsidR="002C190D">
              <w:rPr>
                <w:rFonts w:ascii="Times" w:hAnsi="Times" w:cs="Times"/>
                <w:bCs/>
                <w:sz w:val="25"/>
                <w:szCs w:val="25"/>
              </w:rPr>
              <w:t>Predmetné doplnenie môže byť zahrnuté do budúcej modifikácie Strategického plánu.</w:t>
            </w:r>
          </w:p>
          <w:p w14:paraId="7B6C94BB" w14:textId="36597E68" w:rsidR="002C190D" w:rsidRPr="00AF70DF" w:rsidRDefault="002C190D" w:rsidP="002C190D">
            <w:pPr>
              <w:rPr>
                <w:rFonts w:ascii="Times" w:hAnsi="Times" w:cs="Times"/>
                <w:bCs/>
                <w:sz w:val="25"/>
                <w:szCs w:val="25"/>
              </w:rPr>
            </w:pPr>
            <w:r>
              <w:rPr>
                <w:rFonts w:ascii="Times" w:hAnsi="Times" w:cs="Times"/>
                <w:bCs/>
                <w:sz w:val="25"/>
                <w:szCs w:val="25"/>
              </w:rPr>
              <w:t xml:space="preserve">SPPK netrvá na zásadnej pripomienke, rozpor bol na rozporovom konaní dňa 4. 12. 2023 odstránený.   </w:t>
            </w:r>
          </w:p>
        </w:tc>
      </w:tr>
      <w:tr w:rsidR="005B483D" w:rsidRPr="00AF70DF" w14:paraId="036BCA31" w14:textId="77777777" w:rsidTr="005B483D">
        <w:trPr>
          <w:jc w:val="center"/>
        </w:trPr>
        <w:tc>
          <w:tcPr>
            <w:tcW w:w="361" w:type="pct"/>
            <w:tcBorders>
              <w:top w:val="outset" w:sz="6" w:space="0" w:color="000000"/>
              <w:left w:val="outset" w:sz="6" w:space="0" w:color="000000"/>
              <w:bottom w:val="outset" w:sz="6" w:space="0" w:color="000000"/>
              <w:right w:val="outset" w:sz="6" w:space="0" w:color="000000"/>
            </w:tcBorders>
            <w:hideMark/>
          </w:tcPr>
          <w:p w14:paraId="0CD498E1"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lastRenderedPageBreak/>
              <w:t>SPPK</w:t>
            </w:r>
          </w:p>
        </w:tc>
        <w:tc>
          <w:tcPr>
            <w:tcW w:w="2061" w:type="pct"/>
            <w:tcBorders>
              <w:top w:val="outset" w:sz="6" w:space="0" w:color="000000"/>
              <w:left w:val="outset" w:sz="6" w:space="0" w:color="000000"/>
              <w:bottom w:val="outset" w:sz="6" w:space="0" w:color="000000"/>
              <w:right w:val="outset" w:sz="6" w:space="0" w:color="000000"/>
            </w:tcBorders>
            <w:vAlign w:val="center"/>
            <w:hideMark/>
          </w:tcPr>
          <w:p w14:paraId="52F99474" w14:textId="77777777" w:rsidR="00AF70DF" w:rsidRPr="00AF70DF" w:rsidRDefault="00AF70DF" w:rsidP="00764680">
            <w:pPr>
              <w:rPr>
                <w:rFonts w:ascii="Times" w:hAnsi="Times" w:cs="Times"/>
                <w:sz w:val="25"/>
                <w:szCs w:val="25"/>
              </w:rPr>
            </w:pPr>
            <w:r w:rsidRPr="00AF70DF">
              <w:rPr>
                <w:rFonts w:ascii="Times" w:hAnsi="Times" w:cs="Times"/>
                <w:b/>
                <w:bCs/>
                <w:sz w:val="25"/>
                <w:szCs w:val="25"/>
              </w:rPr>
              <w:t>K Prílohe č. 1</w:t>
            </w:r>
            <w:r w:rsidRPr="00AF70DF">
              <w:rPr>
                <w:rFonts w:ascii="Times" w:hAnsi="Times" w:cs="Times"/>
                <w:sz w:val="25"/>
                <w:szCs w:val="25"/>
              </w:rPr>
              <w:br/>
              <w:t xml:space="preserve">V Prílohe 1 navrhujeme ponechať nasledovné druhy rýchlorastúcich drevín Topoľ kanadský Populus x canadensis; Topoľ maximowiczov Populus maximowiczii; Topoľ chlpatoplodý Populus trichocarpa. Odôvodnenie: domáce druhy drevín, nie sú rentabilné (tržby z drevnej hmoty vrátane dotácií nepokryjú náklady na výsadbu a ťažbu). RRD je možné pestovať podľa zákona na Slovensku iba na bonitách 5-9, výnos z domácich drevín je na týchto plochách nižší o 50 %. Vylúčenie vyššie uvedených, nepôvodných druhov rýchlorastúcich drevín z navrhovaného zoznamu druhov rýchlorastúcich drevín a ich krížencov by malo za následok likvidáciu väčšiny plantáží rýchlorastúcich drevín na území Slovenskej republiky, ktoré majú preukázateľne pozitívny vplyv na životné prostredie. V praxi to znamená že nikto z komerčnej sféry nebude sadiť domáce druhy RRD a zároveň kvôli znevýhodneným dotačným podmienkam nebude rentabilné sadiť ani hore uvedené druhy s najväčším hospodárskym </w:t>
            </w:r>
            <w:r w:rsidRPr="00AF70DF">
              <w:rPr>
                <w:rFonts w:ascii="Times" w:hAnsi="Times" w:cs="Times"/>
                <w:sz w:val="25"/>
                <w:szCs w:val="25"/>
              </w:rPr>
              <w:lastRenderedPageBreak/>
              <w:t>významom v podmienkach klímy Strednej Európy. Takéto opatrenie by viedlo k zníženiu konkurencieschopnosti Slovenska v porovnaní s okolitými štátmi, ktoré výsadbu týchto druhov dotujú a výrazne by sťažilo dosiahnutie ambicióznych klimatických cieľov. Overiť toto tvrdenie je možné, VÚPOP vedie databázu všetkých registrovaných plôch RRD, ministerstvo si môže urobiť obraz aké % domácich druhov tvorí súčasné plochy RRD. Snáď s výnimkou vŕb sa pravdepodobne žiadne iné domáce druhy nepestujú. Opatrenie RRD na ornej pôde bude preto neúčinné a nevyužívané.</w:t>
            </w:r>
          </w:p>
        </w:tc>
        <w:tc>
          <w:tcPr>
            <w:tcW w:w="156" w:type="pct"/>
            <w:tcBorders>
              <w:top w:val="outset" w:sz="6" w:space="0" w:color="000000"/>
              <w:left w:val="outset" w:sz="6" w:space="0" w:color="000000"/>
              <w:bottom w:val="outset" w:sz="6" w:space="0" w:color="000000"/>
              <w:right w:val="outset" w:sz="6" w:space="0" w:color="000000"/>
            </w:tcBorders>
            <w:vAlign w:val="center"/>
            <w:hideMark/>
          </w:tcPr>
          <w:p w14:paraId="4BC10021"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lastRenderedPageBreak/>
              <w:t>Z</w:t>
            </w:r>
          </w:p>
        </w:tc>
        <w:tc>
          <w:tcPr>
            <w:tcW w:w="235" w:type="pct"/>
            <w:tcBorders>
              <w:top w:val="outset" w:sz="6" w:space="0" w:color="000000"/>
              <w:left w:val="outset" w:sz="6" w:space="0" w:color="000000"/>
              <w:bottom w:val="outset" w:sz="6" w:space="0" w:color="000000"/>
              <w:right w:val="outset" w:sz="6" w:space="0" w:color="000000"/>
            </w:tcBorders>
          </w:tcPr>
          <w:p w14:paraId="462ED199" w14:textId="77777777" w:rsidR="00AF70DF" w:rsidRPr="00AF70DF" w:rsidRDefault="00AF70DF" w:rsidP="00764680">
            <w:pPr>
              <w:jc w:val="center"/>
              <w:rPr>
                <w:rFonts w:ascii="Times" w:hAnsi="Times" w:cs="Times"/>
                <w:b/>
                <w:bCs/>
                <w:sz w:val="25"/>
                <w:szCs w:val="25"/>
              </w:rPr>
            </w:pPr>
          </w:p>
          <w:p w14:paraId="0D2BABBC"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N</w:t>
            </w:r>
          </w:p>
        </w:tc>
        <w:tc>
          <w:tcPr>
            <w:tcW w:w="2187" w:type="pct"/>
            <w:tcBorders>
              <w:top w:val="outset" w:sz="6" w:space="0" w:color="000000"/>
              <w:left w:val="outset" w:sz="6" w:space="0" w:color="000000"/>
              <w:bottom w:val="outset" w:sz="6" w:space="0" w:color="000000"/>
              <w:right w:val="outset" w:sz="6" w:space="0" w:color="000000"/>
            </w:tcBorders>
          </w:tcPr>
          <w:p w14:paraId="15FE00F8" w14:textId="77777777" w:rsidR="00AF70DF" w:rsidRDefault="00AF70DF" w:rsidP="002C190D">
            <w:pPr>
              <w:rPr>
                <w:rFonts w:ascii="Times" w:hAnsi="Times" w:cs="Times"/>
                <w:bCs/>
                <w:sz w:val="25"/>
                <w:szCs w:val="25"/>
              </w:rPr>
            </w:pPr>
            <w:r w:rsidRPr="00AF70DF">
              <w:rPr>
                <w:rFonts w:ascii="Times" w:hAnsi="Times" w:cs="Times"/>
                <w:bCs/>
                <w:sz w:val="25"/>
                <w:szCs w:val="25"/>
              </w:rPr>
              <w:t>P</w:t>
            </w:r>
            <w:r w:rsidR="002C190D">
              <w:rPr>
                <w:rFonts w:ascii="Times" w:hAnsi="Times" w:cs="Times"/>
                <w:bCs/>
                <w:sz w:val="25"/>
                <w:szCs w:val="25"/>
              </w:rPr>
              <w:t>redložený návrh</w:t>
            </w:r>
            <w:r w:rsidRPr="00AF70DF">
              <w:rPr>
                <w:rFonts w:ascii="Times" w:hAnsi="Times" w:cs="Times"/>
                <w:bCs/>
                <w:sz w:val="25"/>
                <w:szCs w:val="25"/>
              </w:rPr>
              <w:t xml:space="preserve"> nie je v súlade so znením schváleným </w:t>
            </w:r>
            <w:r w:rsidR="002C190D">
              <w:rPr>
                <w:rFonts w:ascii="Times" w:hAnsi="Times" w:cs="Times"/>
                <w:bCs/>
                <w:sz w:val="25"/>
                <w:szCs w:val="25"/>
              </w:rPr>
              <w:t xml:space="preserve">Strategického plánu Spoločnej poľnohospodárskej politiky 2023 – 2027, </w:t>
            </w:r>
            <w:r w:rsidRPr="00AF70DF">
              <w:rPr>
                <w:rFonts w:ascii="Times" w:hAnsi="Times" w:cs="Times"/>
                <w:bCs/>
                <w:sz w:val="25"/>
                <w:szCs w:val="25"/>
              </w:rPr>
              <w:t xml:space="preserve">ktoré bolo prerokované a predložené na schválenie </w:t>
            </w:r>
            <w:r w:rsidR="002C190D">
              <w:rPr>
                <w:rFonts w:ascii="Times" w:hAnsi="Times" w:cs="Times"/>
                <w:bCs/>
                <w:sz w:val="25"/>
                <w:szCs w:val="25"/>
              </w:rPr>
              <w:t>Európskej Komisii</w:t>
            </w:r>
            <w:r w:rsidRPr="00AF70DF">
              <w:rPr>
                <w:rFonts w:ascii="Times" w:hAnsi="Times" w:cs="Times"/>
                <w:bCs/>
                <w:sz w:val="25"/>
                <w:szCs w:val="25"/>
              </w:rPr>
              <w:t>. Požiadavka na vypustenie predmetných druhov topoľov bolo predmetom 1. modifikácie SP SPP 2023-2027, čo bola z</w:t>
            </w:r>
            <w:r w:rsidR="002C190D">
              <w:rPr>
                <w:rFonts w:ascii="Times" w:hAnsi="Times" w:cs="Times"/>
                <w:bCs/>
                <w:sz w:val="25"/>
                <w:szCs w:val="25"/>
              </w:rPr>
              <w:t xml:space="preserve">ásadná pripomienka Ministerstva životného prostredia Slovenskej republiky </w:t>
            </w:r>
            <w:r w:rsidRPr="00AF70DF">
              <w:rPr>
                <w:rFonts w:ascii="Times" w:hAnsi="Times" w:cs="Times"/>
                <w:bCs/>
                <w:sz w:val="25"/>
                <w:szCs w:val="25"/>
              </w:rPr>
              <w:t xml:space="preserve">pri prijímaní </w:t>
            </w:r>
            <w:r w:rsidR="002C190D">
              <w:rPr>
                <w:rFonts w:ascii="Times" w:hAnsi="Times" w:cs="Times"/>
                <w:bCs/>
                <w:sz w:val="25"/>
                <w:szCs w:val="25"/>
              </w:rPr>
              <w:t>nariadenia vlády Slovenskej republiky</w:t>
            </w:r>
            <w:r w:rsidRPr="00AF70DF">
              <w:rPr>
                <w:rFonts w:ascii="Times" w:hAnsi="Times" w:cs="Times"/>
                <w:bCs/>
                <w:sz w:val="25"/>
                <w:szCs w:val="25"/>
              </w:rPr>
              <w:t xml:space="preserve"> č. 435/2022 </w:t>
            </w:r>
            <w:r w:rsidR="002C190D">
              <w:rPr>
                <w:rFonts w:ascii="Times" w:hAnsi="Times" w:cs="Times"/>
                <w:bCs/>
                <w:sz w:val="25"/>
                <w:szCs w:val="25"/>
              </w:rPr>
              <w:t xml:space="preserve">Z. z. </w:t>
            </w:r>
            <w:r w:rsidRPr="00AF70DF">
              <w:rPr>
                <w:rFonts w:ascii="Times" w:hAnsi="Times" w:cs="Times"/>
                <w:bCs/>
                <w:sz w:val="25"/>
                <w:szCs w:val="25"/>
              </w:rPr>
              <w:t>v roku 2022.</w:t>
            </w:r>
          </w:p>
          <w:p w14:paraId="5D5674B9" w14:textId="77777777" w:rsidR="002C190D" w:rsidRDefault="002C190D" w:rsidP="002C190D">
            <w:pPr>
              <w:jc w:val="both"/>
              <w:rPr>
                <w:rFonts w:ascii="Times" w:hAnsi="Times" w:cs="Times"/>
                <w:bCs/>
                <w:sz w:val="25"/>
                <w:szCs w:val="25"/>
              </w:rPr>
            </w:pPr>
            <w:r>
              <w:rPr>
                <w:rFonts w:ascii="Times" w:hAnsi="Times" w:cs="Times"/>
                <w:bCs/>
                <w:sz w:val="25"/>
                <w:szCs w:val="25"/>
              </w:rPr>
              <w:t>Na rozporovom konaní dňa 4. 12. 2023 rozpor nebol odstránený.</w:t>
            </w:r>
          </w:p>
          <w:p w14:paraId="45AF84ED" w14:textId="77777777" w:rsidR="00BF1673" w:rsidRDefault="00BF1673" w:rsidP="002C190D">
            <w:pPr>
              <w:jc w:val="both"/>
              <w:rPr>
                <w:rFonts w:ascii="Times" w:hAnsi="Times" w:cs="Times"/>
                <w:bCs/>
                <w:sz w:val="25"/>
                <w:szCs w:val="25"/>
              </w:rPr>
            </w:pPr>
            <w:r>
              <w:rPr>
                <w:rFonts w:ascii="Times" w:hAnsi="Times" w:cs="Times"/>
                <w:bCs/>
                <w:sz w:val="25"/>
                <w:szCs w:val="25"/>
              </w:rPr>
              <w:t>Na stretnutí bol zo strany MPRV SR vysvetlený dôvod odstránenia niektrých druhov topoľov zo zoznamu rýchlorastúcich drevín. Bolo vysvetlené, že zoznam RRD môže byť predmetom nasledujúcej modifikácie SP SPPP 2023-2027.</w:t>
            </w:r>
          </w:p>
          <w:p w14:paraId="19AF542E" w14:textId="4F6C7343" w:rsidR="00EC1448" w:rsidRPr="00901977" w:rsidRDefault="00EC1448" w:rsidP="002C190D">
            <w:pPr>
              <w:jc w:val="both"/>
              <w:rPr>
                <w:rFonts w:ascii="Times" w:hAnsi="Times" w:cs="Times"/>
                <w:b/>
                <w:bCs/>
                <w:sz w:val="25"/>
                <w:szCs w:val="25"/>
                <w:u w:val="single"/>
              </w:rPr>
            </w:pPr>
            <w:r w:rsidRPr="00901977">
              <w:rPr>
                <w:rFonts w:ascii="Times" w:hAnsi="Times" w:cs="Times"/>
                <w:b/>
                <w:bCs/>
                <w:sz w:val="25"/>
                <w:szCs w:val="25"/>
                <w:u w:val="single"/>
              </w:rPr>
              <w:t>SPPK žiada MPRV SR, aby sa zaoberalo touto problematikou. SPPK požaduje zo strany MPRV SR</w:t>
            </w:r>
            <w:r w:rsidR="0029477C" w:rsidRPr="00901977">
              <w:rPr>
                <w:rFonts w:ascii="Times" w:hAnsi="Times" w:cs="Times"/>
                <w:b/>
                <w:bCs/>
                <w:sz w:val="25"/>
                <w:szCs w:val="25"/>
                <w:u w:val="single"/>
              </w:rPr>
              <w:t xml:space="preserve"> okrem informácií uvedených v pripomienke aj o nasledovné</w:t>
            </w:r>
            <w:r w:rsidRPr="00901977">
              <w:rPr>
                <w:rFonts w:ascii="Times" w:hAnsi="Times" w:cs="Times"/>
                <w:b/>
                <w:bCs/>
                <w:sz w:val="25"/>
                <w:szCs w:val="25"/>
                <w:u w:val="single"/>
              </w:rPr>
              <w:t>:</w:t>
            </w:r>
          </w:p>
          <w:p w14:paraId="56FA2447" w14:textId="77777777" w:rsidR="00EC1448" w:rsidRPr="00901977" w:rsidRDefault="00EC1448" w:rsidP="00EC1448">
            <w:pPr>
              <w:pStyle w:val="Odsekzoznamu"/>
              <w:numPr>
                <w:ilvl w:val="0"/>
                <w:numId w:val="1"/>
              </w:numPr>
              <w:jc w:val="both"/>
              <w:rPr>
                <w:rFonts w:ascii="Times" w:hAnsi="Times" w:cs="Times"/>
                <w:b/>
                <w:bCs/>
                <w:sz w:val="25"/>
                <w:szCs w:val="25"/>
                <w:u w:val="single"/>
              </w:rPr>
            </w:pPr>
            <w:r w:rsidRPr="00901977">
              <w:rPr>
                <w:rFonts w:ascii="Times" w:hAnsi="Times" w:cs="Times"/>
                <w:b/>
                <w:bCs/>
                <w:sz w:val="25"/>
                <w:szCs w:val="25"/>
                <w:u w:val="single"/>
              </w:rPr>
              <w:lastRenderedPageBreak/>
              <w:t>Rozlišovať, či sa jedná o invázne druhy rastlín, ktorých rozširovaniu musí na poľnohospodárskej pôde zabraňovať žiadateľ o priame platby a v prípade, že sa nejedná o invázne druhy rastlín, tak nie je známy dôvod neponechať tieto druhy v prílohe č. 1.</w:t>
            </w:r>
          </w:p>
          <w:p w14:paraId="2919EBA0" w14:textId="77777777" w:rsidR="00EC1448" w:rsidRPr="00901977" w:rsidRDefault="00EC1448" w:rsidP="00EC1448">
            <w:pPr>
              <w:pStyle w:val="Odsekzoznamu"/>
              <w:numPr>
                <w:ilvl w:val="0"/>
                <w:numId w:val="1"/>
              </w:numPr>
              <w:jc w:val="both"/>
              <w:rPr>
                <w:rFonts w:ascii="Times" w:hAnsi="Times" w:cs="Times"/>
                <w:b/>
                <w:bCs/>
                <w:sz w:val="25"/>
                <w:szCs w:val="25"/>
              </w:rPr>
            </w:pPr>
            <w:r w:rsidRPr="00901977">
              <w:rPr>
                <w:rFonts w:ascii="Times" w:hAnsi="Times" w:cs="Times"/>
                <w:b/>
                <w:bCs/>
                <w:sz w:val="25"/>
                <w:szCs w:val="25"/>
                <w:u w:val="single"/>
              </w:rPr>
              <w:t xml:space="preserve"> </w:t>
            </w:r>
            <w:r w:rsidR="0029477C" w:rsidRPr="00901977">
              <w:rPr>
                <w:rFonts w:ascii="Times" w:hAnsi="Times" w:cs="Times"/>
                <w:b/>
                <w:bCs/>
                <w:sz w:val="25"/>
                <w:szCs w:val="25"/>
                <w:u w:val="single"/>
              </w:rPr>
              <w:t>Zobrať do úvahy aj skutočnosť, že pestovaním týchto druhov je možné zabraňovať erózii, najmä vetrenej.</w:t>
            </w:r>
          </w:p>
          <w:p w14:paraId="780ED4BB" w14:textId="77777777" w:rsidR="00873306" w:rsidRPr="00901977" w:rsidRDefault="00873306" w:rsidP="00873306">
            <w:pPr>
              <w:rPr>
                <w:rFonts w:ascii="Noto IKEA Latin" w:hAnsi="Noto IKEA Latin"/>
                <w:b/>
                <w:bCs/>
                <w:lang w:val="en-US"/>
              </w:rPr>
            </w:pPr>
            <w:r w:rsidRPr="00901977">
              <w:rPr>
                <w:rFonts w:ascii="Times" w:hAnsi="Times" w:cs="Times"/>
                <w:b/>
                <w:bCs/>
                <w:sz w:val="25"/>
                <w:szCs w:val="25"/>
              </w:rPr>
              <w:t xml:space="preserve">Stručný popis problematiky uvádza aj tento príspevok: </w:t>
            </w:r>
            <w:hyperlink r:id="rId6" w:history="1">
              <w:r w:rsidRPr="00901977">
                <w:rPr>
                  <w:rStyle w:val="Hypertextovprepojenie"/>
                  <w:rFonts w:ascii="Noto IKEA Latin" w:hAnsi="Noto IKEA Latin"/>
                  <w:b/>
                  <w:bCs/>
                  <w:lang w:val="en-US"/>
                </w:rPr>
                <w:t>https://polnoinfo.sk/trvaly-tlak-envirorezortu-priniesol-vysledok-slovensky-pestovatel-zazil-debakel/</w:t>
              </w:r>
            </w:hyperlink>
          </w:p>
          <w:p w14:paraId="3204F65B" w14:textId="6C03F767" w:rsidR="00873306" w:rsidRPr="00873306" w:rsidRDefault="00873306" w:rsidP="00873306">
            <w:pPr>
              <w:jc w:val="both"/>
              <w:rPr>
                <w:rFonts w:ascii="Times" w:hAnsi="Times" w:cs="Times"/>
                <w:b/>
                <w:bCs/>
                <w:sz w:val="25"/>
                <w:szCs w:val="25"/>
              </w:rPr>
            </w:pPr>
            <w:r>
              <w:rPr>
                <w:rFonts w:ascii="Times" w:hAnsi="Times" w:cs="Times"/>
                <w:b/>
                <w:bCs/>
                <w:sz w:val="25"/>
                <w:szCs w:val="25"/>
              </w:rPr>
              <w:t xml:space="preserve"> </w:t>
            </w:r>
          </w:p>
        </w:tc>
      </w:tr>
      <w:tr w:rsidR="005B483D" w:rsidRPr="00AF70DF" w14:paraId="37D8E31F" w14:textId="77777777" w:rsidTr="005B483D">
        <w:trPr>
          <w:jc w:val="center"/>
        </w:trPr>
        <w:tc>
          <w:tcPr>
            <w:tcW w:w="361" w:type="pct"/>
            <w:tcBorders>
              <w:top w:val="outset" w:sz="6" w:space="0" w:color="000000"/>
              <w:left w:val="outset" w:sz="6" w:space="0" w:color="000000"/>
              <w:bottom w:val="outset" w:sz="6" w:space="0" w:color="000000"/>
              <w:right w:val="outset" w:sz="6" w:space="0" w:color="000000"/>
            </w:tcBorders>
            <w:hideMark/>
          </w:tcPr>
          <w:p w14:paraId="59387811"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lastRenderedPageBreak/>
              <w:t>SPPK</w:t>
            </w:r>
          </w:p>
        </w:tc>
        <w:tc>
          <w:tcPr>
            <w:tcW w:w="2061" w:type="pct"/>
            <w:tcBorders>
              <w:top w:val="outset" w:sz="6" w:space="0" w:color="000000"/>
              <w:left w:val="outset" w:sz="6" w:space="0" w:color="000000"/>
              <w:bottom w:val="outset" w:sz="6" w:space="0" w:color="000000"/>
              <w:right w:val="outset" w:sz="6" w:space="0" w:color="000000"/>
            </w:tcBorders>
            <w:vAlign w:val="center"/>
            <w:hideMark/>
          </w:tcPr>
          <w:p w14:paraId="6662FBD7" w14:textId="77777777" w:rsidR="00AF70DF" w:rsidRPr="00AF70DF" w:rsidRDefault="00AF70DF" w:rsidP="00764680">
            <w:pPr>
              <w:rPr>
                <w:rFonts w:ascii="Times" w:hAnsi="Times" w:cs="Times"/>
                <w:sz w:val="25"/>
                <w:szCs w:val="25"/>
              </w:rPr>
            </w:pPr>
            <w:r w:rsidRPr="00AF70DF">
              <w:rPr>
                <w:rFonts w:ascii="Times" w:hAnsi="Times" w:cs="Times"/>
                <w:b/>
                <w:bCs/>
                <w:sz w:val="25"/>
                <w:szCs w:val="25"/>
              </w:rPr>
              <w:t>K Prílohe č. 2</w:t>
            </w:r>
            <w:r w:rsidRPr="00AF70DF">
              <w:rPr>
                <w:rFonts w:ascii="Times" w:hAnsi="Times" w:cs="Times"/>
                <w:sz w:val="25"/>
                <w:szCs w:val="25"/>
              </w:rPr>
              <w:br/>
              <w:t>V prílohe č. 2, Časť A, riadok DPEP 6, stĺpec „Podmienky“, za vetu „Spôsoby vegetačného pokrytia na poľnohospodárskej ploche / pôde / v období od 1. júna do 31. októbra“ navrhujeme vložiť ďalší spôsob, ktorým je „využitie pestovaných plodín“. Odôvodnenie: pestované plodiny v uvedenom období do ich zberu zabezpečujú vegetačné pokrytie. Po zbere pestovaných plodín uplatňovať ďalšie spôsoby vegetačného pokrytia. Niektoré plodiny, napr. kukurica, cukrová repa, s neskorým zberom zabezpečujú vegetačné pokrytie počas celého stanoveného obdobia.</w:t>
            </w:r>
          </w:p>
        </w:tc>
        <w:tc>
          <w:tcPr>
            <w:tcW w:w="156" w:type="pct"/>
            <w:tcBorders>
              <w:top w:val="outset" w:sz="6" w:space="0" w:color="000000"/>
              <w:left w:val="outset" w:sz="6" w:space="0" w:color="000000"/>
              <w:bottom w:val="outset" w:sz="6" w:space="0" w:color="000000"/>
              <w:right w:val="outset" w:sz="6" w:space="0" w:color="000000"/>
            </w:tcBorders>
            <w:vAlign w:val="center"/>
            <w:hideMark/>
          </w:tcPr>
          <w:p w14:paraId="7E6454DF"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Z</w:t>
            </w:r>
          </w:p>
        </w:tc>
        <w:tc>
          <w:tcPr>
            <w:tcW w:w="235" w:type="pct"/>
            <w:tcBorders>
              <w:top w:val="outset" w:sz="6" w:space="0" w:color="000000"/>
              <w:left w:val="outset" w:sz="6" w:space="0" w:color="000000"/>
              <w:bottom w:val="outset" w:sz="6" w:space="0" w:color="000000"/>
              <w:right w:val="outset" w:sz="6" w:space="0" w:color="000000"/>
            </w:tcBorders>
          </w:tcPr>
          <w:p w14:paraId="6A18F32F" w14:textId="77777777" w:rsidR="00AF70DF" w:rsidRPr="00AF70DF" w:rsidRDefault="00AF70DF" w:rsidP="00764680">
            <w:pPr>
              <w:jc w:val="center"/>
              <w:rPr>
                <w:rFonts w:ascii="Times" w:hAnsi="Times" w:cs="Times"/>
                <w:b/>
                <w:bCs/>
                <w:sz w:val="25"/>
                <w:szCs w:val="25"/>
              </w:rPr>
            </w:pPr>
          </w:p>
          <w:p w14:paraId="5A363BCC" w14:textId="77777777" w:rsidR="00AF70DF" w:rsidRPr="00AF70DF" w:rsidRDefault="00AF70DF" w:rsidP="00764680">
            <w:pPr>
              <w:jc w:val="center"/>
              <w:rPr>
                <w:rFonts w:ascii="Times" w:hAnsi="Times" w:cs="Times"/>
                <w:b/>
                <w:bCs/>
                <w:sz w:val="25"/>
                <w:szCs w:val="25"/>
              </w:rPr>
            </w:pPr>
          </w:p>
          <w:p w14:paraId="6DA0E643" w14:textId="77777777" w:rsidR="00AF70DF" w:rsidRPr="00AF70DF" w:rsidRDefault="00AF70DF" w:rsidP="00764680">
            <w:pPr>
              <w:jc w:val="center"/>
              <w:rPr>
                <w:rFonts w:ascii="Times" w:hAnsi="Times" w:cs="Times"/>
                <w:b/>
                <w:bCs/>
                <w:sz w:val="25"/>
                <w:szCs w:val="25"/>
              </w:rPr>
            </w:pPr>
          </w:p>
          <w:p w14:paraId="50AE7A6C" w14:textId="77777777" w:rsidR="00AF70DF" w:rsidRPr="00AF70DF" w:rsidRDefault="00AF70DF" w:rsidP="00764680">
            <w:pPr>
              <w:jc w:val="center"/>
              <w:rPr>
                <w:rFonts w:ascii="Times" w:hAnsi="Times" w:cs="Times"/>
                <w:b/>
                <w:bCs/>
                <w:sz w:val="25"/>
                <w:szCs w:val="25"/>
              </w:rPr>
            </w:pPr>
          </w:p>
          <w:p w14:paraId="509B523B"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A</w:t>
            </w:r>
          </w:p>
          <w:p w14:paraId="71AE88D5" w14:textId="77777777" w:rsidR="00AF70DF" w:rsidRPr="00AF70DF" w:rsidRDefault="00AF70DF" w:rsidP="00764680">
            <w:pPr>
              <w:jc w:val="center"/>
              <w:rPr>
                <w:rFonts w:ascii="Times" w:hAnsi="Times" w:cs="Times"/>
                <w:b/>
                <w:bCs/>
                <w:sz w:val="25"/>
                <w:szCs w:val="25"/>
              </w:rPr>
            </w:pPr>
          </w:p>
        </w:tc>
        <w:tc>
          <w:tcPr>
            <w:tcW w:w="2187" w:type="pct"/>
            <w:tcBorders>
              <w:top w:val="outset" w:sz="6" w:space="0" w:color="000000"/>
              <w:left w:val="outset" w:sz="6" w:space="0" w:color="000000"/>
              <w:bottom w:val="outset" w:sz="6" w:space="0" w:color="000000"/>
              <w:right w:val="outset" w:sz="6" w:space="0" w:color="000000"/>
            </w:tcBorders>
          </w:tcPr>
          <w:p w14:paraId="4FC446B1" w14:textId="77777777" w:rsidR="00AF70DF" w:rsidRPr="00AF70DF" w:rsidRDefault="00AF70DF" w:rsidP="00764680">
            <w:pPr>
              <w:rPr>
                <w:rFonts w:ascii="Times" w:hAnsi="Times" w:cs="Times"/>
                <w:bCs/>
                <w:sz w:val="25"/>
                <w:szCs w:val="25"/>
              </w:rPr>
            </w:pPr>
            <w:r w:rsidRPr="00AF70DF">
              <w:rPr>
                <w:rFonts w:ascii="Times" w:hAnsi="Times" w:cs="Times"/>
                <w:bCs/>
                <w:sz w:val="25"/>
                <w:szCs w:val="25"/>
              </w:rPr>
              <w:t>Pripomienka akceptovaná a v texte zapracovaná.</w:t>
            </w:r>
          </w:p>
        </w:tc>
      </w:tr>
      <w:tr w:rsidR="005B483D" w:rsidRPr="00AF70DF" w14:paraId="58EFF064" w14:textId="77777777" w:rsidTr="005B483D">
        <w:trPr>
          <w:jc w:val="center"/>
        </w:trPr>
        <w:tc>
          <w:tcPr>
            <w:tcW w:w="361" w:type="pct"/>
            <w:tcBorders>
              <w:top w:val="outset" w:sz="6" w:space="0" w:color="000000"/>
              <w:left w:val="outset" w:sz="6" w:space="0" w:color="000000"/>
              <w:bottom w:val="outset" w:sz="6" w:space="0" w:color="000000"/>
              <w:right w:val="outset" w:sz="6" w:space="0" w:color="000000"/>
            </w:tcBorders>
            <w:hideMark/>
          </w:tcPr>
          <w:p w14:paraId="168DE88B"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SPPK</w:t>
            </w:r>
          </w:p>
        </w:tc>
        <w:tc>
          <w:tcPr>
            <w:tcW w:w="2061" w:type="pct"/>
            <w:tcBorders>
              <w:top w:val="outset" w:sz="6" w:space="0" w:color="000000"/>
              <w:left w:val="outset" w:sz="6" w:space="0" w:color="000000"/>
              <w:bottom w:val="outset" w:sz="6" w:space="0" w:color="000000"/>
              <w:right w:val="outset" w:sz="6" w:space="0" w:color="000000"/>
            </w:tcBorders>
            <w:vAlign w:val="center"/>
            <w:hideMark/>
          </w:tcPr>
          <w:p w14:paraId="5D1ECC86" w14:textId="77777777" w:rsidR="00AF70DF" w:rsidRPr="00AF70DF" w:rsidRDefault="00AF70DF" w:rsidP="00764680">
            <w:pPr>
              <w:rPr>
                <w:rFonts w:ascii="Times" w:hAnsi="Times" w:cs="Times"/>
                <w:sz w:val="25"/>
                <w:szCs w:val="25"/>
              </w:rPr>
            </w:pPr>
            <w:r w:rsidRPr="00AF70DF">
              <w:rPr>
                <w:rFonts w:ascii="Times" w:hAnsi="Times" w:cs="Times"/>
                <w:b/>
                <w:bCs/>
                <w:sz w:val="25"/>
                <w:szCs w:val="25"/>
              </w:rPr>
              <w:t>K Prílohe č. 2</w:t>
            </w:r>
            <w:r w:rsidRPr="00AF70DF">
              <w:rPr>
                <w:rFonts w:ascii="Times" w:hAnsi="Times" w:cs="Times"/>
                <w:sz w:val="25"/>
                <w:szCs w:val="25"/>
              </w:rPr>
              <w:br/>
              <w:t xml:space="preserve">V prílohe č. 2, Časť A, riadok DPEP 6, stĺpec „Spôsoby vegetačného pokrytia, resp. Pôdoochranné </w:t>
            </w:r>
            <w:r w:rsidRPr="00AF70DF">
              <w:rPr>
                <w:rFonts w:ascii="Times" w:hAnsi="Times" w:cs="Times"/>
                <w:sz w:val="25"/>
                <w:szCs w:val="25"/>
              </w:rPr>
              <w:lastRenderedPageBreak/>
              <w:t>opatrenia“, navrhujeme doplniť „podrývanie pôdy so zachovaním rastlinných zvyškov na povrchu pôdy“. Odôvodnenie: podrývanie pôdy zabezpečuje vsakovanie vody pri postupných a dlhotrvajúcich zrážkach. Rastlinné zvyšky vykonávajú protierózne opatrenia a zabraňujú v prípade prívalových dažďov enormnému odtekaniu vody z územia a degradácii pôdy. Podrývanie pôdy spĺňa podmienku vodozádržných opatrení v krajine.</w:t>
            </w:r>
          </w:p>
        </w:tc>
        <w:tc>
          <w:tcPr>
            <w:tcW w:w="156" w:type="pct"/>
            <w:tcBorders>
              <w:top w:val="outset" w:sz="6" w:space="0" w:color="000000"/>
              <w:left w:val="outset" w:sz="6" w:space="0" w:color="000000"/>
              <w:bottom w:val="outset" w:sz="6" w:space="0" w:color="000000"/>
              <w:right w:val="outset" w:sz="6" w:space="0" w:color="000000"/>
            </w:tcBorders>
            <w:vAlign w:val="center"/>
            <w:hideMark/>
          </w:tcPr>
          <w:p w14:paraId="01991B15"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lastRenderedPageBreak/>
              <w:t>Z</w:t>
            </w:r>
          </w:p>
        </w:tc>
        <w:tc>
          <w:tcPr>
            <w:tcW w:w="235" w:type="pct"/>
            <w:tcBorders>
              <w:top w:val="outset" w:sz="6" w:space="0" w:color="000000"/>
              <w:left w:val="outset" w:sz="6" w:space="0" w:color="000000"/>
              <w:bottom w:val="outset" w:sz="6" w:space="0" w:color="000000"/>
              <w:right w:val="outset" w:sz="6" w:space="0" w:color="000000"/>
            </w:tcBorders>
          </w:tcPr>
          <w:p w14:paraId="69B0A568" w14:textId="77777777" w:rsidR="00AF70DF" w:rsidRPr="00AF70DF" w:rsidRDefault="00AF70DF" w:rsidP="00764680">
            <w:pPr>
              <w:jc w:val="center"/>
              <w:rPr>
                <w:rFonts w:ascii="Times" w:hAnsi="Times" w:cs="Times"/>
                <w:b/>
                <w:bCs/>
                <w:sz w:val="25"/>
                <w:szCs w:val="25"/>
              </w:rPr>
            </w:pPr>
          </w:p>
          <w:p w14:paraId="38C66A23" w14:textId="77777777" w:rsidR="00AF70DF" w:rsidRPr="00AF70DF" w:rsidRDefault="00AF70DF" w:rsidP="00764680">
            <w:pPr>
              <w:jc w:val="center"/>
              <w:rPr>
                <w:rFonts w:ascii="Times" w:hAnsi="Times" w:cs="Times"/>
                <w:b/>
                <w:bCs/>
                <w:sz w:val="25"/>
                <w:szCs w:val="25"/>
              </w:rPr>
            </w:pPr>
          </w:p>
          <w:p w14:paraId="2EE2A079" w14:textId="77777777" w:rsidR="00AF70DF" w:rsidRPr="00AF70DF" w:rsidRDefault="00AF70DF" w:rsidP="00764680">
            <w:pPr>
              <w:jc w:val="center"/>
              <w:rPr>
                <w:rFonts w:ascii="Times" w:hAnsi="Times" w:cs="Times"/>
                <w:b/>
                <w:bCs/>
                <w:sz w:val="25"/>
                <w:szCs w:val="25"/>
              </w:rPr>
            </w:pPr>
          </w:p>
          <w:p w14:paraId="4733210A"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A</w:t>
            </w:r>
          </w:p>
        </w:tc>
        <w:tc>
          <w:tcPr>
            <w:tcW w:w="2187" w:type="pct"/>
            <w:tcBorders>
              <w:top w:val="outset" w:sz="6" w:space="0" w:color="000000"/>
              <w:left w:val="outset" w:sz="6" w:space="0" w:color="000000"/>
              <w:bottom w:val="outset" w:sz="6" w:space="0" w:color="000000"/>
              <w:right w:val="outset" w:sz="6" w:space="0" w:color="000000"/>
            </w:tcBorders>
          </w:tcPr>
          <w:p w14:paraId="0F8769BB" w14:textId="77777777" w:rsidR="00AF70DF" w:rsidRPr="00AF70DF" w:rsidRDefault="00AF70DF" w:rsidP="00764680">
            <w:pPr>
              <w:rPr>
                <w:rFonts w:ascii="Times" w:hAnsi="Times" w:cs="Times"/>
                <w:bCs/>
                <w:sz w:val="25"/>
                <w:szCs w:val="25"/>
              </w:rPr>
            </w:pPr>
            <w:r w:rsidRPr="00AF70DF">
              <w:rPr>
                <w:rFonts w:ascii="Times" w:hAnsi="Times" w:cs="Times"/>
                <w:bCs/>
                <w:sz w:val="25"/>
                <w:szCs w:val="25"/>
              </w:rPr>
              <w:lastRenderedPageBreak/>
              <w:t>Pripomienka akceptovaná a v texte zapracovaná.</w:t>
            </w:r>
          </w:p>
        </w:tc>
      </w:tr>
      <w:tr w:rsidR="005B483D" w:rsidRPr="00AF70DF" w14:paraId="0F71F091" w14:textId="77777777" w:rsidTr="005B483D">
        <w:trPr>
          <w:jc w:val="center"/>
        </w:trPr>
        <w:tc>
          <w:tcPr>
            <w:tcW w:w="361" w:type="pct"/>
            <w:tcBorders>
              <w:top w:val="outset" w:sz="6" w:space="0" w:color="000000"/>
              <w:left w:val="outset" w:sz="6" w:space="0" w:color="000000"/>
              <w:bottom w:val="outset" w:sz="6" w:space="0" w:color="000000"/>
              <w:right w:val="outset" w:sz="6" w:space="0" w:color="000000"/>
            </w:tcBorders>
            <w:hideMark/>
          </w:tcPr>
          <w:p w14:paraId="07E614C8"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SPPK</w:t>
            </w:r>
          </w:p>
        </w:tc>
        <w:tc>
          <w:tcPr>
            <w:tcW w:w="2061" w:type="pct"/>
            <w:tcBorders>
              <w:top w:val="outset" w:sz="6" w:space="0" w:color="000000"/>
              <w:left w:val="outset" w:sz="6" w:space="0" w:color="000000"/>
              <w:bottom w:val="outset" w:sz="6" w:space="0" w:color="000000"/>
              <w:right w:val="outset" w:sz="6" w:space="0" w:color="000000"/>
            </w:tcBorders>
            <w:vAlign w:val="center"/>
            <w:hideMark/>
          </w:tcPr>
          <w:p w14:paraId="20B7F814" w14:textId="77777777" w:rsidR="00AF70DF" w:rsidRPr="00AF70DF" w:rsidRDefault="00AF70DF" w:rsidP="00764680">
            <w:pPr>
              <w:rPr>
                <w:rFonts w:ascii="Times" w:hAnsi="Times" w:cs="Times"/>
                <w:sz w:val="25"/>
                <w:szCs w:val="25"/>
              </w:rPr>
            </w:pPr>
            <w:r w:rsidRPr="00AF70DF">
              <w:rPr>
                <w:rFonts w:ascii="Times" w:hAnsi="Times" w:cs="Times"/>
                <w:b/>
                <w:bCs/>
                <w:sz w:val="25"/>
                <w:szCs w:val="25"/>
              </w:rPr>
              <w:t>K Prílohe č. 2</w:t>
            </w:r>
            <w:r w:rsidRPr="00AF70DF">
              <w:rPr>
                <w:rFonts w:ascii="Times" w:hAnsi="Times" w:cs="Times"/>
                <w:sz w:val="25"/>
                <w:szCs w:val="25"/>
              </w:rPr>
              <w:br/>
              <w:t xml:space="preserve">V prílohe č. 2, k DPEP 7, text „Na poľnohospodárskej ploche orná pôda, okrem plôch viacročných plodín, tráv a iných bylinných krmovín a pôdy ležiacej úhorom, dodržiavať povinnosť striedania tej istej plodiny na tej istej ploche počas dvoch po sebe nasledujúcich rokov. V prípade zaradenia medziplodiny v období najneskôr od 1. októbra do siatia jarných plodín v nasledujúcom roku, možno pestovať tú istú plodinu na tej istej poľnohospodárskej ploche aj druhý rok; </w:t>
            </w:r>
            <w:r w:rsidRPr="00AF70DF">
              <w:rPr>
                <w:rFonts w:ascii="Times" w:hAnsi="Times" w:cs="Times"/>
                <w:sz w:val="25"/>
                <w:szCs w:val="25"/>
                <w:u w:val="single"/>
              </w:rPr>
              <w:t>povinnosť podľa prvej vety sa uplatní v treťom roku.“</w:t>
            </w:r>
            <w:r w:rsidRPr="00AF70DF">
              <w:rPr>
                <w:rFonts w:ascii="Times" w:hAnsi="Times" w:cs="Times"/>
                <w:sz w:val="25"/>
                <w:szCs w:val="25"/>
              </w:rPr>
              <w:t xml:space="preserve"> navrhujeme upraviť nasledovne: „Na poľnohospodárskej ploche orná pôda, okrem plôch viacročných plodín, tráv a iných bylinných krmovín a pôdy ležiacej úhorom, dodržiavať povinnosť striedania tej istej plodiny na tej istej ploche počas dvoch po sebe nasledujúcich rokov. V prípade zaradenia medziplodiny v období najneskôr od 1. októbra do siatia jarných plodín v nasledujúcom roku, resp. do výsevu následnej plodiny možno pestovať tú istú plodinu na tej istej poľnohospodárskej ploche aj </w:t>
            </w:r>
            <w:r w:rsidRPr="00AF70DF">
              <w:rPr>
                <w:rFonts w:ascii="Times" w:hAnsi="Times" w:cs="Times"/>
                <w:sz w:val="25"/>
                <w:szCs w:val="25"/>
              </w:rPr>
              <w:lastRenderedPageBreak/>
              <w:t>druhý rok; v prípade plodín jesenného zberu (najmä kukurica, slnečnica, repa) je možné založiť porasty aj po zbere týchto plodín po 01.11., avšak bezodkladne potom, keď to poveternostné podmienky umožnia.“ Odôvodnenie: možnosť zasiať plodinu aj po prvom decembri.</w:t>
            </w:r>
          </w:p>
        </w:tc>
        <w:tc>
          <w:tcPr>
            <w:tcW w:w="156" w:type="pct"/>
            <w:tcBorders>
              <w:top w:val="outset" w:sz="6" w:space="0" w:color="000000"/>
              <w:left w:val="outset" w:sz="6" w:space="0" w:color="000000"/>
              <w:bottom w:val="outset" w:sz="6" w:space="0" w:color="000000"/>
              <w:right w:val="outset" w:sz="6" w:space="0" w:color="000000"/>
            </w:tcBorders>
            <w:vAlign w:val="center"/>
            <w:hideMark/>
          </w:tcPr>
          <w:p w14:paraId="4CB4CC50"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lastRenderedPageBreak/>
              <w:t>Z</w:t>
            </w:r>
          </w:p>
        </w:tc>
        <w:tc>
          <w:tcPr>
            <w:tcW w:w="235" w:type="pct"/>
            <w:tcBorders>
              <w:top w:val="outset" w:sz="6" w:space="0" w:color="000000"/>
              <w:left w:val="outset" w:sz="6" w:space="0" w:color="000000"/>
              <w:bottom w:val="outset" w:sz="6" w:space="0" w:color="000000"/>
              <w:right w:val="outset" w:sz="6" w:space="0" w:color="000000"/>
            </w:tcBorders>
          </w:tcPr>
          <w:p w14:paraId="4F0F09FB" w14:textId="77777777" w:rsidR="00AF70DF" w:rsidRPr="00AF70DF" w:rsidRDefault="00AF70DF" w:rsidP="00764680">
            <w:pPr>
              <w:jc w:val="center"/>
              <w:rPr>
                <w:rFonts w:ascii="Times" w:hAnsi="Times" w:cs="Times"/>
                <w:b/>
                <w:bCs/>
                <w:sz w:val="25"/>
                <w:szCs w:val="25"/>
              </w:rPr>
            </w:pPr>
          </w:p>
          <w:p w14:paraId="0EFEB1C3"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ČA</w:t>
            </w:r>
          </w:p>
        </w:tc>
        <w:tc>
          <w:tcPr>
            <w:tcW w:w="2187" w:type="pct"/>
            <w:tcBorders>
              <w:top w:val="outset" w:sz="6" w:space="0" w:color="000000"/>
              <w:left w:val="outset" w:sz="6" w:space="0" w:color="000000"/>
              <w:bottom w:val="outset" w:sz="6" w:space="0" w:color="000000"/>
              <w:right w:val="outset" w:sz="6" w:space="0" w:color="000000"/>
            </w:tcBorders>
          </w:tcPr>
          <w:p w14:paraId="2F612167" w14:textId="77777777" w:rsidR="00AF70DF" w:rsidRDefault="00AF70DF" w:rsidP="00D7788B">
            <w:pPr>
              <w:rPr>
                <w:rFonts w:ascii="Times" w:hAnsi="Times" w:cs="Times"/>
                <w:bCs/>
                <w:sz w:val="25"/>
                <w:szCs w:val="25"/>
              </w:rPr>
            </w:pPr>
            <w:r w:rsidRPr="00AF70DF">
              <w:rPr>
                <w:rFonts w:ascii="Times" w:hAnsi="Times" w:cs="Times"/>
                <w:bCs/>
                <w:sz w:val="25"/>
                <w:szCs w:val="25"/>
              </w:rPr>
              <w:t>Pripomienka čiastočne akceptovaná a v texte zapracovaná</w:t>
            </w:r>
            <w:r w:rsidR="00D7788B">
              <w:rPr>
                <w:rFonts w:ascii="Times" w:hAnsi="Times" w:cs="Times"/>
                <w:bCs/>
                <w:sz w:val="25"/>
                <w:szCs w:val="25"/>
              </w:rPr>
              <w:t xml:space="preserve">. Slová </w:t>
            </w:r>
            <w:r w:rsidRPr="00AF70DF">
              <w:rPr>
                <w:rFonts w:ascii="Times" w:hAnsi="Times" w:cs="Times"/>
                <w:bCs/>
                <w:sz w:val="25"/>
                <w:szCs w:val="25"/>
              </w:rPr>
              <w:t xml:space="preserve">„Povinnosť podľa prvej vety sa uplatní v treťom roku“ nie je možné vypustiť, pretože </w:t>
            </w:r>
            <w:r w:rsidR="00D7788B">
              <w:rPr>
                <w:rFonts w:ascii="Times" w:hAnsi="Times" w:cs="Times"/>
                <w:bCs/>
                <w:sz w:val="25"/>
                <w:szCs w:val="25"/>
              </w:rPr>
              <w:t>by došlo k nesúladu</w:t>
            </w:r>
            <w:r w:rsidRPr="00AF70DF">
              <w:rPr>
                <w:rFonts w:ascii="Times" w:hAnsi="Times" w:cs="Times"/>
                <w:bCs/>
                <w:sz w:val="25"/>
                <w:szCs w:val="25"/>
              </w:rPr>
              <w:t xml:space="preserve"> so znením schváleným </w:t>
            </w:r>
            <w:r w:rsidR="00D7788B">
              <w:rPr>
                <w:rFonts w:ascii="Times" w:hAnsi="Times" w:cs="Times"/>
                <w:bCs/>
                <w:sz w:val="25"/>
                <w:szCs w:val="25"/>
              </w:rPr>
              <w:t xml:space="preserve">Strategickým plánom Spoločnej poľnohospodárskej politiky 2023 – 2027, </w:t>
            </w:r>
            <w:r w:rsidRPr="00AF70DF">
              <w:rPr>
                <w:rFonts w:ascii="Times" w:hAnsi="Times" w:cs="Times"/>
                <w:bCs/>
                <w:sz w:val="25"/>
                <w:szCs w:val="25"/>
              </w:rPr>
              <w:t xml:space="preserve">ktoré bolo prerokované a predložené na schválenie </w:t>
            </w:r>
            <w:r w:rsidR="00D7788B">
              <w:rPr>
                <w:rFonts w:ascii="Times" w:hAnsi="Times" w:cs="Times"/>
                <w:bCs/>
                <w:sz w:val="25"/>
                <w:szCs w:val="25"/>
              </w:rPr>
              <w:t>Európskej komisii</w:t>
            </w:r>
            <w:r w:rsidRPr="00AF70DF">
              <w:rPr>
                <w:rFonts w:ascii="Times" w:hAnsi="Times" w:cs="Times"/>
                <w:bCs/>
                <w:sz w:val="25"/>
                <w:szCs w:val="25"/>
              </w:rPr>
              <w:t>.</w:t>
            </w:r>
          </w:p>
          <w:p w14:paraId="0A0E85BA" w14:textId="77777777" w:rsidR="00D75A5E" w:rsidRDefault="00D75A5E" w:rsidP="00D75A5E">
            <w:pPr>
              <w:jc w:val="both"/>
              <w:rPr>
                <w:rFonts w:ascii="Times" w:hAnsi="Times" w:cs="Times"/>
                <w:bCs/>
                <w:sz w:val="25"/>
                <w:szCs w:val="25"/>
              </w:rPr>
            </w:pPr>
            <w:r>
              <w:rPr>
                <w:rFonts w:ascii="Times" w:hAnsi="Times" w:cs="Times"/>
                <w:bCs/>
                <w:sz w:val="25"/>
                <w:szCs w:val="25"/>
              </w:rPr>
              <w:t>Na rozporovom konaní dňa 4. 12. 2023 rozpor nebol odstránený.</w:t>
            </w:r>
          </w:p>
          <w:p w14:paraId="17BD2717" w14:textId="77777777" w:rsidR="005B483D" w:rsidRDefault="005B483D" w:rsidP="00D7788B">
            <w:pPr>
              <w:rPr>
                <w:rFonts w:ascii="Times" w:hAnsi="Times" w:cs="Times"/>
                <w:bCs/>
                <w:sz w:val="25"/>
                <w:szCs w:val="25"/>
              </w:rPr>
            </w:pPr>
          </w:p>
          <w:p w14:paraId="5BF63591" w14:textId="04FE6AB4" w:rsidR="00D7788B" w:rsidRPr="00AF70DF" w:rsidRDefault="005B483D" w:rsidP="00D7788B">
            <w:pPr>
              <w:rPr>
                <w:rFonts w:ascii="Times" w:hAnsi="Times" w:cs="Times"/>
                <w:b/>
                <w:bCs/>
                <w:sz w:val="25"/>
                <w:szCs w:val="25"/>
              </w:rPr>
            </w:pPr>
            <w:r w:rsidRPr="00E202F4">
              <w:rPr>
                <w:rFonts w:ascii="Times" w:hAnsi="Times" w:cs="Times"/>
                <w:b/>
                <w:sz w:val="25"/>
                <w:szCs w:val="25"/>
                <w:u w:val="single"/>
              </w:rPr>
              <w:t xml:space="preserve">SPPK upozorňuje, že ministerstvom navrhované znenie podmienky je veľmi prísne. SPPK od augusta roku 2021 upozorňuje na túto DPEP a na špecifické problémy, ktoré ohrozujú niektoré typy poľnohospodárskej výroby, predovšetkým živočíšnu výrobu </w:t>
            </w:r>
            <w:r>
              <w:rPr>
                <w:rFonts w:ascii="Times" w:hAnsi="Times" w:cs="Times"/>
                <w:b/>
                <w:sz w:val="25"/>
                <w:szCs w:val="25"/>
                <w:u w:val="single"/>
              </w:rPr>
              <w:t xml:space="preserve">a produkciu mlieka </w:t>
            </w:r>
            <w:r w:rsidRPr="00E202F4">
              <w:rPr>
                <w:rFonts w:ascii="Times" w:hAnsi="Times" w:cs="Times"/>
                <w:b/>
                <w:sz w:val="25"/>
                <w:szCs w:val="25"/>
                <w:u w:val="single"/>
              </w:rPr>
              <w:t>následkom synergie nastavenia podmienok DPPEP 5, 6 a 7.</w:t>
            </w:r>
          </w:p>
        </w:tc>
      </w:tr>
      <w:tr w:rsidR="005B483D" w:rsidRPr="00AF70DF" w14:paraId="42B33933" w14:textId="77777777" w:rsidTr="005B483D">
        <w:trPr>
          <w:jc w:val="center"/>
        </w:trPr>
        <w:tc>
          <w:tcPr>
            <w:tcW w:w="361" w:type="pct"/>
            <w:tcBorders>
              <w:top w:val="outset" w:sz="6" w:space="0" w:color="000000"/>
              <w:left w:val="outset" w:sz="6" w:space="0" w:color="000000"/>
              <w:bottom w:val="outset" w:sz="6" w:space="0" w:color="000000"/>
              <w:right w:val="outset" w:sz="6" w:space="0" w:color="000000"/>
            </w:tcBorders>
            <w:hideMark/>
          </w:tcPr>
          <w:p w14:paraId="2126ABF1"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SPPK</w:t>
            </w:r>
          </w:p>
        </w:tc>
        <w:tc>
          <w:tcPr>
            <w:tcW w:w="2061" w:type="pct"/>
            <w:tcBorders>
              <w:top w:val="outset" w:sz="6" w:space="0" w:color="000000"/>
              <w:left w:val="outset" w:sz="6" w:space="0" w:color="000000"/>
              <w:bottom w:val="outset" w:sz="6" w:space="0" w:color="000000"/>
              <w:right w:val="outset" w:sz="6" w:space="0" w:color="000000"/>
            </w:tcBorders>
            <w:vAlign w:val="center"/>
            <w:hideMark/>
          </w:tcPr>
          <w:p w14:paraId="639EF80B" w14:textId="77777777" w:rsidR="00AF70DF" w:rsidRPr="00AF70DF" w:rsidRDefault="00AF70DF" w:rsidP="00764680">
            <w:pPr>
              <w:rPr>
                <w:rFonts w:ascii="Times" w:hAnsi="Times" w:cs="Times"/>
                <w:sz w:val="25"/>
                <w:szCs w:val="25"/>
              </w:rPr>
            </w:pPr>
            <w:r w:rsidRPr="00AF70DF">
              <w:rPr>
                <w:rFonts w:ascii="Times" w:hAnsi="Times" w:cs="Times"/>
                <w:b/>
                <w:bCs/>
                <w:sz w:val="25"/>
                <w:szCs w:val="25"/>
              </w:rPr>
              <w:t>K Prílohe č. 2</w:t>
            </w:r>
            <w:r w:rsidRPr="00AF70DF">
              <w:rPr>
                <w:rFonts w:ascii="Times" w:hAnsi="Times" w:cs="Times"/>
                <w:sz w:val="25"/>
                <w:szCs w:val="25"/>
              </w:rPr>
              <w:br/>
              <w:t>V prílohe č. 2, k DPEP 7, za text „Na poľnohospodárskej ploche orná pôda, okrem plôch viacročných plodín, tráv a iných bylinných krmovín a pôdy ležiacej úhorom, dodržiavať povinnosť striedania tej istej plodiny na tej istej ploche počas dvoch po sebe nasledujúcich rokov. V prípade zaradenia medziplodiny v období najneskôr od 1. októbra do siatia jarných plodín v nasledujúcom roku, možno pestovať tú istú plodinu na tej istej poľnohospodárskej ploche aj druhý rok; povinnosť podľa prvej vety sa uplatní v treťom roku.“ žiadame vložiť text: „v prípade plodín jesenného zberu (najmä kukurica, slnečnica, repa) je možné založiť porasty aj po zbere týchto plodín po 01.11., avšak bezodkladne potom, keď to poveternostné podmienky umožnia“. Odôvodnenie: zber týchto plodín je vykonávaný, resp. ukončovaný aj po 01.10., preto je nevyhnutné umožniť, aby bolo možné založiť porasty následných plodín alebo medziplodín aj po 01.10.</w:t>
            </w:r>
          </w:p>
        </w:tc>
        <w:tc>
          <w:tcPr>
            <w:tcW w:w="156" w:type="pct"/>
            <w:tcBorders>
              <w:top w:val="outset" w:sz="6" w:space="0" w:color="000000"/>
              <w:left w:val="outset" w:sz="6" w:space="0" w:color="000000"/>
              <w:bottom w:val="outset" w:sz="6" w:space="0" w:color="000000"/>
              <w:right w:val="outset" w:sz="6" w:space="0" w:color="000000"/>
            </w:tcBorders>
            <w:vAlign w:val="center"/>
            <w:hideMark/>
          </w:tcPr>
          <w:p w14:paraId="649EA060"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Z</w:t>
            </w:r>
          </w:p>
        </w:tc>
        <w:tc>
          <w:tcPr>
            <w:tcW w:w="235" w:type="pct"/>
            <w:tcBorders>
              <w:top w:val="outset" w:sz="6" w:space="0" w:color="000000"/>
              <w:left w:val="outset" w:sz="6" w:space="0" w:color="000000"/>
              <w:bottom w:val="outset" w:sz="6" w:space="0" w:color="000000"/>
              <w:right w:val="outset" w:sz="6" w:space="0" w:color="000000"/>
            </w:tcBorders>
          </w:tcPr>
          <w:p w14:paraId="347B6FAC" w14:textId="77777777" w:rsidR="00AF70DF" w:rsidRPr="00AF70DF" w:rsidRDefault="00AF70DF" w:rsidP="00764680">
            <w:pPr>
              <w:jc w:val="center"/>
              <w:rPr>
                <w:rFonts w:ascii="Times" w:hAnsi="Times" w:cs="Times"/>
                <w:b/>
                <w:bCs/>
                <w:sz w:val="25"/>
                <w:szCs w:val="25"/>
              </w:rPr>
            </w:pPr>
          </w:p>
          <w:p w14:paraId="7E77E96E"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A</w:t>
            </w:r>
          </w:p>
        </w:tc>
        <w:tc>
          <w:tcPr>
            <w:tcW w:w="2187" w:type="pct"/>
            <w:tcBorders>
              <w:top w:val="outset" w:sz="6" w:space="0" w:color="000000"/>
              <w:left w:val="outset" w:sz="6" w:space="0" w:color="000000"/>
              <w:bottom w:val="outset" w:sz="6" w:space="0" w:color="000000"/>
              <w:right w:val="outset" w:sz="6" w:space="0" w:color="000000"/>
            </w:tcBorders>
          </w:tcPr>
          <w:p w14:paraId="594319E5" w14:textId="77777777" w:rsidR="00AF70DF" w:rsidRPr="00AF70DF" w:rsidRDefault="00AF70DF" w:rsidP="00764680">
            <w:pPr>
              <w:rPr>
                <w:rFonts w:ascii="Times" w:hAnsi="Times" w:cs="Times"/>
                <w:bCs/>
                <w:sz w:val="25"/>
                <w:szCs w:val="25"/>
              </w:rPr>
            </w:pPr>
            <w:r w:rsidRPr="00AF70DF">
              <w:rPr>
                <w:rFonts w:ascii="Times" w:hAnsi="Times" w:cs="Times"/>
                <w:bCs/>
                <w:sz w:val="25"/>
                <w:szCs w:val="25"/>
              </w:rPr>
              <w:t>Pripomienka čiastočne akceptovaná a v texte zapracovaná.</w:t>
            </w:r>
          </w:p>
          <w:p w14:paraId="5926BBA8" w14:textId="111A5279" w:rsidR="00D75A5E" w:rsidRDefault="00AF70DF" w:rsidP="00D75A5E">
            <w:pPr>
              <w:jc w:val="both"/>
              <w:rPr>
                <w:rFonts w:ascii="Times" w:hAnsi="Times" w:cs="Times"/>
                <w:bCs/>
                <w:sz w:val="25"/>
                <w:szCs w:val="25"/>
              </w:rPr>
            </w:pPr>
            <w:r w:rsidRPr="00AF70DF">
              <w:rPr>
                <w:rFonts w:ascii="Times" w:hAnsi="Times" w:cs="Times"/>
                <w:bCs/>
                <w:sz w:val="25"/>
                <w:szCs w:val="25"/>
              </w:rPr>
              <w:t xml:space="preserve">Demonštratívny výpočet plodín jesenného zberu  ako sú kukurica, slnečnica, repka budú uvedené </w:t>
            </w:r>
            <w:r w:rsidR="003F699F">
              <w:rPr>
                <w:rFonts w:ascii="Times" w:hAnsi="Times" w:cs="Times"/>
                <w:bCs/>
                <w:sz w:val="25"/>
                <w:szCs w:val="25"/>
              </w:rPr>
              <w:t xml:space="preserve">v </w:t>
            </w:r>
            <w:r w:rsidRPr="00AF70DF">
              <w:rPr>
                <w:rFonts w:ascii="Times" w:hAnsi="Times" w:cs="Times"/>
                <w:bCs/>
                <w:sz w:val="25"/>
                <w:szCs w:val="25"/>
              </w:rPr>
              <w:t xml:space="preserve">osobitnej časti dôvodovej správy a v usmernení pripravovanom k návrhu NV SR. </w:t>
            </w:r>
            <w:r w:rsidR="00D75A5E">
              <w:rPr>
                <w:rFonts w:ascii="Times" w:hAnsi="Times" w:cs="Times"/>
                <w:bCs/>
                <w:sz w:val="25"/>
                <w:szCs w:val="25"/>
              </w:rPr>
              <w:t xml:space="preserve">Na rozporovom konaní dňa 4. 12. 2023 </w:t>
            </w:r>
            <w:r w:rsidR="00D75A5E">
              <w:rPr>
                <w:rFonts w:ascii="Times" w:hAnsi="Times" w:cs="Times"/>
                <w:bCs/>
                <w:sz w:val="25"/>
                <w:szCs w:val="25"/>
              </w:rPr>
              <w:t xml:space="preserve">bol </w:t>
            </w:r>
            <w:r w:rsidR="00D75A5E">
              <w:rPr>
                <w:rFonts w:ascii="Times" w:hAnsi="Times" w:cs="Times"/>
                <w:bCs/>
                <w:sz w:val="25"/>
                <w:szCs w:val="25"/>
              </w:rPr>
              <w:t>rozpor odstránený.</w:t>
            </w:r>
          </w:p>
          <w:p w14:paraId="26C529C0" w14:textId="3DFA0562" w:rsidR="00B34F34" w:rsidRDefault="00B34F34" w:rsidP="003F699F">
            <w:pPr>
              <w:rPr>
                <w:rFonts w:ascii="Times" w:hAnsi="Times" w:cs="Times"/>
                <w:bCs/>
                <w:sz w:val="25"/>
                <w:szCs w:val="25"/>
              </w:rPr>
            </w:pPr>
            <w:r>
              <w:rPr>
                <w:rFonts w:ascii="Times" w:hAnsi="Times" w:cs="Times"/>
                <w:bCs/>
                <w:sz w:val="25"/>
                <w:szCs w:val="25"/>
              </w:rPr>
              <w:t xml:space="preserve"> </w:t>
            </w:r>
          </w:p>
          <w:p w14:paraId="3ABE0B42" w14:textId="77777777" w:rsidR="0029477C" w:rsidRDefault="0029477C" w:rsidP="003F699F">
            <w:pPr>
              <w:rPr>
                <w:rFonts w:ascii="Times" w:hAnsi="Times" w:cs="Times"/>
                <w:bCs/>
                <w:sz w:val="25"/>
                <w:szCs w:val="25"/>
              </w:rPr>
            </w:pPr>
          </w:p>
          <w:p w14:paraId="7E45469F" w14:textId="58CE576A" w:rsidR="0029477C" w:rsidRPr="0029477C" w:rsidRDefault="0029477C" w:rsidP="003F699F">
            <w:pPr>
              <w:rPr>
                <w:rFonts w:ascii="Times" w:hAnsi="Times" w:cs="Times"/>
                <w:b/>
                <w:sz w:val="25"/>
                <w:szCs w:val="25"/>
                <w:u w:val="single"/>
              </w:rPr>
            </w:pPr>
            <w:r w:rsidRPr="0029477C">
              <w:rPr>
                <w:rFonts w:ascii="Times" w:hAnsi="Times" w:cs="Times"/>
                <w:b/>
                <w:sz w:val="25"/>
                <w:szCs w:val="25"/>
                <w:u w:val="single"/>
              </w:rPr>
              <w:t>SPPK súhlasí s týmto vyhodnotením pripomienky.</w:t>
            </w:r>
          </w:p>
        </w:tc>
      </w:tr>
      <w:tr w:rsidR="005B483D" w:rsidRPr="00AF70DF" w14:paraId="404DCA7E" w14:textId="77777777" w:rsidTr="005B483D">
        <w:trPr>
          <w:jc w:val="center"/>
        </w:trPr>
        <w:tc>
          <w:tcPr>
            <w:tcW w:w="361" w:type="pct"/>
            <w:tcBorders>
              <w:top w:val="outset" w:sz="6" w:space="0" w:color="000000"/>
              <w:left w:val="outset" w:sz="6" w:space="0" w:color="000000"/>
              <w:bottom w:val="outset" w:sz="6" w:space="0" w:color="000000"/>
              <w:right w:val="outset" w:sz="6" w:space="0" w:color="000000"/>
            </w:tcBorders>
            <w:hideMark/>
          </w:tcPr>
          <w:p w14:paraId="70A621AE"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SPPK</w:t>
            </w:r>
          </w:p>
        </w:tc>
        <w:tc>
          <w:tcPr>
            <w:tcW w:w="2061" w:type="pct"/>
            <w:tcBorders>
              <w:top w:val="outset" w:sz="6" w:space="0" w:color="000000"/>
              <w:left w:val="outset" w:sz="6" w:space="0" w:color="000000"/>
              <w:bottom w:val="outset" w:sz="6" w:space="0" w:color="000000"/>
              <w:right w:val="outset" w:sz="6" w:space="0" w:color="000000"/>
            </w:tcBorders>
            <w:vAlign w:val="center"/>
            <w:hideMark/>
          </w:tcPr>
          <w:p w14:paraId="30670D58" w14:textId="77777777" w:rsidR="00AF70DF" w:rsidRPr="00AF70DF" w:rsidRDefault="00AF70DF" w:rsidP="00764680">
            <w:pPr>
              <w:rPr>
                <w:rFonts w:ascii="Times" w:hAnsi="Times" w:cs="Times"/>
                <w:sz w:val="25"/>
                <w:szCs w:val="25"/>
              </w:rPr>
            </w:pPr>
            <w:r w:rsidRPr="00AF70DF">
              <w:rPr>
                <w:rFonts w:ascii="Times" w:hAnsi="Times" w:cs="Times"/>
                <w:b/>
                <w:bCs/>
                <w:sz w:val="25"/>
                <w:szCs w:val="25"/>
              </w:rPr>
              <w:t>K Prílohe č. 2</w:t>
            </w:r>
            <w:r w:rsidRPr="00AF70DF">
              <w:rPr>
                <w:rFonts w:ascii="Times" w:hAnsi="Times" w:cs="Times"/>
                <w:sz w:val="25"/>
                <w:szCs w:val="25"/>
              </w:rPr>
              <w:br/>
              <w:t xml:space="preserve">V prílohe č. 2, k DPEP 7, žiadame vypustiť text „povinnosť podľa prvej vety sa uplatní v treťom roku.“ Odôvodnenie: uvedený text </w:t>
            </w:r>
            <w:r w:rsidRPr="00AF70DF">
              <w:rPr>
                <w:rFonts w:ascii="Times" w:hAnsi="Times" w:cs="Times"/>
                <w:sz w:val="25"/>
                <w:szCs w:val="25"/>
              </w:rPr>
              <w:lastRenderedPageBreak/>
              <w:t>zbytočne sprísňuje znenie podmienky.</w:t>
            </w:r>
          </w:p>
        </w:tc>
        <w:tc>
          <w:tcPr>
            <w:tcW w:w="156" w:type="pct"/>
            <w:tcBorders>
              <w:top w:val="outset" w:sz="6" w:space="0" w:color="000000"/>
              <w:left w:val="outset" w:sz="6" w:space="0" w:color="000000"/>
              <w:bottom w:val="outset" w:sz="6" w:space="0" w:color="000000"/>
              <w:right w:val="outset" w:sz="6" w:space="0" w:color="000000"/>
            </w:tcBorders>
            <w:vAlign w:val="center"/>
            <w:hideMark/>
          </w:tcPr>
          <w:p w14:paraId="7C77A9A1"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lastRenderedPageBreak/>
              <w:t>Z</w:t>
            </w:r>
          </w:p>
        </w:tc>
        <w:tc>
          <w:tcPr>
            <w:tcW w:w="235" w:type="pct"/>
            <w:tcBorders>
              <w:top w:val="outset" w:sz="6" w:space="0" w:color="000000"/>
              <w:left w:val="outset" w:sz="6" w:space="0" w:color="000000"/>
              <w:bottom w:val="outset" w:sz="6" w:space="0" w:color="000000"/>
              <w:right w:val="outset" w:sz="6" w:space="0" w:color="000000"/>
            </w:tcBorders>
          </w:tcPr>
          <w:p w14:paraId="15B37C54" w14:textId="77777777" w:rsidR="00AF70DF" w:rsidRPr="00AF70DF" w:rsidRDefault="00AF70DF" w:rsidP="00764680">
            <w:pPr>
              <w:jc w:val="center"/>
              <w:rPr>
                <w:rFonts w:ascii="Times" w:hAnsi="Times" w:cs="Times"/>
                <w:b/>
                <w:bCs/>
                <w:sz w:val="25"/>
                <w:szCs w:val="25"/>
              </w:rPr>
            </w:pPr>
          </w:p>
          <w:p w14:paraId="21B5594A"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N</w:t>
            </w:r>
          </w:p>
        </w:tc>
        <w:tc>
          <w:tcPr>
            <w:tcW w:w="2187" w:type="pct"/>
            <w:tcBorders>
              <w:top w:val="outset" w:sz="6" w:space="0" w:color="000000"/>
              <w:left w:val="outset" w:sz="6" w:space="0" w:color="000000"/>
              <w:bottom w:val="outset" w:sz="6" w:space="0" w:color="000000"/>
              <w:right w:val="outset" w:sz="6" w:space="0" w:color="000000"/>
            </w:tcBorders>
          </w:tcPr>
          <w:p w14:paraId="06E75215" w14:textId="697226CC" w:rsidR="00AF70DF" w:rsidRDefault="00AF70DF" w:rsidP="00764680">
            <w:pPr>
              <w:rPr>
                <w:rFonts w:ascii="Times" w:hAnsi="Times" w:cs="Times"/>
                <w:bCs/>
                <w:sz w:val="25"/>
                <w:szCs w:val="25"/>
              </w:rPr>
            </w:pPr>
            <w:r w:rsidRPr="00AF70DF">
              <w:rPr>
                <w:rFonts w:ascii="Times" w:hAnsi="Times" w:cs="Times"/>
                <w:bCs/>
                <w:sz w:val="25"/>
                <w:szCs w:val="25"/>
              </w:rPr>
              <w:t xml:space="preserve">Návrh nie je v súlade so znením schváleným MV SP SPP ktoré bolo prerokované a predložené na schválenie EK. EK počas 1. </w:t>
            </w:r>
            <w:r w:rsidRPr="00AF70DF">
              <w:rPr>
                <w:rFonts w:ascii="Times" w:hAnsi="Times" w:cs="Times"/>
                <w:bCs/>
                <w:sz w:val="25"/>
                <w:szCs w:val="25"/>
              </w:rPr>
              <w:lastRenderedPageBreak/>
              <w:t>modifikácie trvala na podmienke zmeny hlavnej plodiny v treťom roku.</w:t>
            </w:r>
          </w:p>
          <w:p w14:paraId="39DAB34A" w14:textId="77777777" w:rsidR="00D75A5E" w:rsidRDefault="00D75A5E" w:rsidP="00D75A5E">
            <w:pPr>
              <w:jc w:val="both"/>
              <w:rPr>
                <w:rFonts w:ascii="Times" w:hAnsi="Times" w:cs="Times"/>
                <w:bCs/>
                <w:sz w:val="25"/>
                <w:szCs w:val="25"/>
              </w:rPr>
            </w:pPr>
            <w:r>
              <w:rPr>
                <w:rFonts w:ascii="Times" w:hAnsi="Times" w:cs="Times"/>
                <w:bCs/>
                <w:sz w:val="25"/>
                <w:szCs w:val="25"/>
              </w:rPr>
              <w:t>Na rozporovom konaní dňa 4. 12. 2023 rozpor nebol odstránený.</w:t>
            </w:r>
          </w:p>
          <w:p w14:paraId="452F3D41" w14:textId="14408F0B" w:rsidR="0029477C" w:rsidRPr="00E202F4" w:rsidRDefault="0029477C" w:rsidP="00B34F34">
            <w:pPr>
              <w:rPr>
                <w:rFonts w:ascii="Times" w:hAnsi="Times" w:cs="Times"/>
                <w:b/>
                <w:sz w:val="25"/>
                <w:szCs w:val="25"/>
                <w:u w:val="single"/>
              </w:rPr>
            </w:pPr>
            <w:r w:rsidRPr="00E202F4">
              <w:rPr>
                <w:rFonts w:ascii="Times" w:hAnsi="Times" w:cs="Times"/>
                <w:b/>
                <w:sz w:val="25"/>
                <w:szCs w:val="25"/>
                <w:u w:val="single"/>
              </w:rPr>
              <w:t>SPPK upozorňuje, že ministerstvom navrhované znenie podmienky je veľmi prísne</w:t>
            </w:r>
            <w:r w:rsidR="00EF4245" w:rsidRPr="00E202F4">
              <w:rPr>
                <w:rFonts w:ascii="Times" w:hAnsi="Times" w:cs="Times"/>
                <w:b/>
                <w:sz w:val="25"/>
                <w:szCs w:val="25"/>
                <w:u w:val="single"/>
              </w:rPr>
              <w:t xml:space="preserve">. SPPK od augusta roku 2021 upozorňuje na túto DPEP a na špecifické problémy, ktoré ohrozujú niektoré typy poľnohospodárskej výroby, predovšetkým živočíšnu výrobu </w:t>
            </w:r>
            <w:r w:rsidR="005B483D">
              <w:rPr>
                <w:rFonts w:ascii="Times" w:hAnsi="Times" w:cs="Times"/>
                <w:b/>
                <w:sz w:val="25"/>
                <w:szCs w:val="25"/>
                <w:u w:val="single"/>
              </w:rPr>
              <w:t xml:space="preserve">a produkciu mlieka </w:t>
            </w:r>
            <w:r w:rsidR="00EF4245" w:rsidRPr="00E202F4">
              <w:rPr>
                <w:rFonts w:ascii="Times" w:hAnsi="Times" w:cs="Times"/>
                <w:b/>
                <w:sz w:val="25"/>
                <w:szCs w:val="25"/>
                <w:u w:val="single"/>
              </w:rPr>
              <w:t xml:space="preserve">následkom </w:t>
            </w:r>
            <w:r w:rsidR="00E202F4" w:rsidRPr="00E202F4">
              <w:rPr>
                <w:rFonts w:ascii="Times" w:hAnsi="Times" w:cs="Times"/>
                <w:b/>
                <w:sz w:val="25"/>
                <w:szCs w:val="25"/>
                <w:u w:val="single"/>
              </w:rPr>
              <w:t>synergie nastavenia podmienok DPPEP 5, 6 a 7.</w:t>
            </w:r>
          </w:p>
        </w:tc>
      </w:tr>
      <w:tr w:rsidR="005B483D" w14:paraId="724662DE" w14:textId="77777777" w:rsidTr="005B483D">
        <w:trPr>
          <w:jc w:val="center"/>
        </w:trPr>
        <w:tc>
          <w:tcPr>
            <w:tcW w:w="361" w:type="pct"/>
            <w:tcBorders>
              <w:top w:val="outset" w:sz="6" w:space="0" w:color="000000"/>
              <w:left w:val="outset" w:sz="6" w:space="0" w:color="000000"/>
              <w:bottom w:val="outset" w:sz="6" w:space="0" w:color="000000"/>
              <w:right w:val="outset" w:sz="6" w:space="0" w:color="000000"/>
            </w:tcBorders>
            <w:hideMark/>
          </w:tcPr>
          <w:p w14:paraId="035E227D"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lastRenderedPageBreak/>
              <w:t>SPPK</w:t>
            </w:r>
          </w:p>
        </w:tc>
        <w:tc>
          <w:tcPr>
            <w:tcW w:w="2061" w:type="pct"/>
            <w:tcBorders>
              <w:top w:val="outset" w:sz="6" w:space="0" w:color="000000"/>
              <w:left w:val="outset" w:sz="6" w:space="0" w:color="000000"/>
              <w:bottom w:val="outset" w:sz="6" w:space="0" w:color="000000"/>
              <w:right w:val="outset" w:sz="6" w:space="0" w:color="000000"/>
            </w:tcBorders>
            <w:vAlign w:val="center"/>
            <w:hideMark/>
          </w:tcPr>
          <w:p w14:paraId="4D5DB94D" w14:textId="77777777" w:rsidR="00AF70DF" w:rsidRPr="00AF70DF" w:rsidRDefault="00AF70DF" w:rsidP="00764680">
            <w:pPr>
              <w:rPr>
                <w:rFonts w:ascii="Times" w:hAnsi="Times" w:cs="Times"/>
                <w:sz w:val="25"/>
                <w:szCs w:val="25"/>
              </w:rPr>
            </w:pPr>
            <w:r w:rsidRPr="00AF70DF">
              <w:rPr>
                <w:rFonts w:ascii="Times" w:hAnsi="Times" w:cs="Times"/>
                <w:b/>
                <w:bCs/>
                <w:sz w:val="25"/>
                <w:szCs w:val="25"/>
              </w:rPr>
              <w:t>Nový novelizačný bod</w:t>
            </w:r>
            <w:r w:rsidRPr="00AF70DF">
              <w:rPr>
                <w:rFonts w:ascii="Times" w:hAnsi="Times" w:cs="Times"/>
                <w:sz w:val="25"/>
                <w:szCs w:val="25"/>
              </w:rPr>
              <w:br/>
              <w:t xml:space="preserve">Žiadame doplniť § 2 písm. f) nasledovne: za slovo orba sa namiesto čiarky vkladá bodka a za bodku sa vkladajú slová „Trvalý trávny porast zahŕňa aj ďalšie druhy, napríklad kry, alebo stromy, ktoré možno spásať zvieratami, alebo ktoré sú vhodné na spásanie zvieratami pod podmienkou, že naďalej prevládajú trávy a iné bylinné krmoviny,“. Odôvodnenie: predmetná pripomienka je predložená za účelom akceptácie porastov čučoriedok, brusníc, zakrpatených kríkov a ďalších drevín na plochách trvalých trávnych porastov. Samotné trvalé trávne porasty sú bohaté rastlinné spoločenstvá. V prípade prírodných trvalo trávnych porastov je ich charakteristickým znakom práve rozmanitosť druhového zloženia. Prítomnosť čučoriedok a brusníc je prirodzenou súčasťou najmä vysokohorských pasienkov. Čučoriedky a brusnice sú pritom bežne spásane hospodárskymi zvieratami. Zároveň, zmenou </w:t>
            </w:r>
            <w:r w:rsidRPr="00AF70DF">
              <w:rPr>
                <w:rFonts w:ascii="Times" w:hAnsi="Times" w:cs="Times"/>
                <w:sz w:val="25"/>
                <w:szCs w:val="25"/>
              </w:rPr>
              <w:lastRenderedPageBreak/>
              <w:t xml:space="preserve">klimatických podmienok je nevyhnutné akceptovať na trvalých trávnych porastoch aj porasty ako napr. porasty čučoriedok, brusníc, zakrpatených kríkov a ďalších drevín. Porasty zároveň slúžia pre zadržiavanie vlahy a úkryt zvierat na trvalých trávnych porastoch. Predmetnou zmenou dôjde k zosúladeniu s európskou legislatívou. V článku 4 ods. 3. písm. c) Nariadenia Európskeho parlamentu a Rady (EÚ) č. 2021/2015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definuje TTP nasledovne: „trvalý trávny porast a trvalé pasienky“ (spolu ďalej len „trvalý trávny porast“) sú pôda využívaná na pestovanie tráv alebo iných bylinných krmovín, ktoré vyrástli prirodzene (samovysiate) alebo boli vypestované (zasiate), a najmenej päť rokov nezahrnutá do systému striedania plodín v podniku, a ak sa tak členské štáty rozhodnú, aj pôda, ktorá nebola najmenej päť rokov oraná ani inak obrobená ani opätovne osiata rôznymi typmi tráv alebo iných bylinných krmovín. Uvedené vymedzenie môže zahŕňať aj ďalšie druhy, napríklad kry alebo stromy, ktoré možno spásať, a ak sa tak členské štáty rozhodnú, aj ďalšie </w:t>
            </w:r>
            <w:r w:rsidRPr="00AF70DF">
              <w:rPr>
                <w:rFonts w:ascii="Times" w:hAnsi="Times" w:cs="Times"/>
                <w:sz w:val="25"/>
                <w:szCs w:val="25"/>
              </w:rPr>
              <w:lastRenderedPageBreak/>
              <w:t>druhy, napríklad kry alebo stromy vhodné na spásanie zvieratami pod podmienkou, že naďalej prevládajú trávy a iné bylinné krmoviny.“ Podľa uvedenej legislatívy, sa členské štáty môžu takisto rozhodnúť, že za trvalý trávny porast budú považovať tieto druhy pôdy: „i) pôdu, ktorú pokrýva ktorýkoľvek z druhov uvedených v tomto bode a ktorá je súčasťou zaužívaných miestnych postupov a na ktorej trávy a iné bylinné krmoviny tradične na spásaných plochách neprevládajú alebo sa na nich nevyskytujú,“ a „ii) pôdu, ktorú pokrýva ktorýkoľvek z druhov uvedených v tomto bode a na ktorej trávy a iné bylinné krmoviny na spásaných plochách neprevládajú alebo sa na nich nevyskytujú.“.</w:t>
            </w:r>
          </w:p>
        </w:tc>
        <w:tc>
          <w:tcPr>
            <w:tcW w:w="156" w:type="pct"/>
            <w:tcBorders>
              <w:top w:val="outset" w:sz="6" w:space="0" w:color="000000"/>
              <w:left w:val="outset" w:sz="6" w:space="0" w:color="000000"/>
              <w:bottom w:val="outset" w:sz="6" w:space="0" w:color="000000"/>
              <w:right w:val="outset" w:sz="6" w:space="0" w:color="000000"/>
            </w:tcBorders>
            <w:vAlign w:val="center"/>
            <w:hideMark/>
          </w:tcPr>
          <w:p w14:paraId="1F9A990A"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lastRenderedPageBreak/>
              <w:t>Z</w:t>
            </w:r>
          </w:p>
        </w:tc>
        <w:tc>
          <w:tcPr>
            <w:tcW w:w="235" w:type="pct"/>
            <w:tcBorders>
              <w:top w:val="outset" w:sz="6" w:space="0" w:color="000000"/>
              <w:left w:val="outset" w:sz="6" w:space="0" w:color="000000"/>
              <w:bottom w:val="outset" w:sz="6" w:space="0" w:color="000000"/>
              <w:right w:val="outset" w:sz="6" w:space="0" w:color="000000"/>
            </w:tcBorders>
          </w:tcPr>
          <w:p w14:paraId="08EDD4DA" w14:textId="77777777" w:rsidR="00AF70DF" w:rsidRPr="00AF70DF" w:rsidRDefault="00AF70DF" w:rsidP="00764680">
            <w:pPr>
              <w:jc w:val="center"/>
              <w:rPr>
                <w:rFonts w:ascii="Times" w:hAnsi="Times" w:cs="Times"/>
                <w:b/>
                <w:bCs/>
                <w:sz w:val="25"/>
                <w:szCs w:val="25"/>
              </w:rPr>
            </w:pPr>
          </w:p>
          <w:p w14:paraId="270B55DC" w14:textId="77777777" w:rsidR="00AF70DF" w:rsidRPr="00AF70DF" w:rsidRDefault="00AF70DF" w:rsidP="00764680">
            <w:pPr>
              <w:jc w:val="center"/>
              <w:rPr>
                <w:rFonts w:ascii="Times" w:hAnsi="Times" w:cs="Times"/>
                <w:b/>
                <w:bCs/>
                <w:sz w:val="25"/>
                <w:szCs w:val="25"/>
              </w:rPr>
            </w:pPr>
          </w:p>
          <w:p w14:paraId="78E9A845" w14:textId="77777777" w:rsidR="00AF70DF" w:rsidRPr="00AF70DF" w:rsidRDefault="00AF70DF" w:rsidP="00764680">
            <w:pPr>
              <w:jc w:val="center"/>
              <w:rPr>
                <w:rFonts w:ascii="Times" w:hAnsi="Times" w:cs="Times"/>
                <w:b/>
                <w:bCs/>
                <w:sz w:val="25"/>
                <w:szCs w:val="25"/>
              </w:rPr>
            </w:pPr>
            <w:r w:rsidRPr="00AF70DF">
              <w:rPr>
                <w:rFonts w:ascii="Times" w:hAnsi="Times" w:cs="Times"/>
                <w:b/>
                <w:bCs/>
                <w:sz w:val="25"/>
                <w:szCs w:val="25"/>
              </w:rPr>
              <w:t>N</w:t>
            </w:r>
          </w:p>
        </w:tc>
        <w:tc>
          <w:tcPr>
            <w:tcW w:w="2187" w:type="pct"/>
            <w:tcBorders>
              <w:top w:val="outset" w:sz="6" w:space="0" w:color="000000"/>
              <w:left w:val="outset" w:sz="6" w:space="0" w:color="000000"/>
              <w:bottom w:val="outset" w:sz="6" w:space="0" w:color="000000"/>
              <w:right w:val="outset" w:sz="6" w:space="0" w:color="000000"/>
            </w:tcBorders>
          </w:tcPr>
          <w:p w14:paraId="36E9469E" w14:textId="77777777" w:rsidR="00AF70DF" w:rsidRPr="00AF70DF" w:rsidRDefault="00AF70DF" w:rsidP="00764680">
            <w:pPr>
              <w:rPr>
                <w:rFonts w:ascii="Times" w:hAnsi="Times" w:cs="Times"/>
                <w:bCs/>
                <w:sz w:val="25"/>
                <w:szCs w:val="25"/>
              </w:rPr>
            </w:pPr>
            <w:r w:rsidRPr="00AF70DF">
              <w:rPr>
                <w:rFonts w:ascii="Times" w:hAnsi="Times" w:cs="Times"/>
                <w:bCs/>
                <w:sz w:val="25"/>
                <w:szCs w:val="25"/>
              </w:rPr>
              <w:t>Pripomienka neakceptovaná.</w:t>
            </w:r>
          </w:p>
          <w:p w14:paraId="2E46F670" w14:textId="77777777" w:rsidR="00AF70DF" w:rsidRPr="00AF70DF" w:rsidRDefault="00AF70DF" w:rsidP="00764680">
            <w:pPr>
              <w:rPr>
                <w:rFonts w:ascii="Times" w:hAnsi="Times" w:cs="Times"/>
                <w:bCs/>
                <w:sz w:val="25"/>
                <w:szCs w:val="25"/>
              </w:rPr>
            </w:pPr>
            <w:r w:rsidRPr="00AF70DF">
              <w:rPr>
                <w:rFonts w:ascii="Times" w:hAnsi="Times" w:cs="Times"/>
                <w:bCs/>
                <w:sz w:val="25"/>
                <w:szCs w:val="25"/>
              </w:rPr>
              <w:t>Znenie definície trvalého trávneho porastu v návrhu nariadenia musí korešpondovať so znením definície trvalého trávneho porastu v schválenom Strategickom pláne SPP 2023-2027. V SP v definícii trvalého trávneho porastu nie sú ako oprávnené prvky kry, alebo stromy, ktoré možno spásať zvieratami, alebo ktoré sú vhodné na spásanie zvieratami.</w:t>
            </w:r>
          </w:p>
          <w:p w14:paraId="7368F4C3" w14:textId="77777777" w:rsidR="00AF70DF" w:rsidRPr="00AF70DF" w:rsidRDefault="00AF70DF" w:rsidP="00764680">
            <w:pPr>
              <w:rPr>
                <w:rFonts w:ascii="Times" w:hAnsi="Times" w:cs="Times"/>
                <w:bCs/>
                <w:sz w:val="25"/>
                <w:szCs w:val="25"/>
              </w:rPr>
            </w:pPr>
            <w:r w:rsidRPr="00AF70DF">
              <w:rPr>
                <w:rFonts w:ascii="Times" w:hAnsi="Times" w:cs="Times"/>
                <w:bCs/>
                <w:sz w:val="25"/>
                <w:szCs w:val="25"/>
              </w:rPr>
              <w:t>Citácia bodu SP SPP 2023-2027:</w:t>
            </w:r>
          </w:p>
          <w:p w14:paraId="1C82C105" w14:textId="77777777" w:rsidR="00AF70DF" w:rsidRPr="00AF70DF" w:rsidRDefault="00AF70DF" w:rsidP="00764680">
            <w:pPr>
              <w:rPr>
                <w:rFonts w:ascii="Times" w:hAnsi="Times" w:cs="Times"/>
                <w:bCs/>
                <w:sz w:val="25"/>
                <w:szCs w:val="25"/>
              </w:rPr>
            </w:pPr>
            <w:r w:rsidRPr="00AF70DF">
              <w:rPr>
                <w:rFonts w:ascii="Times" w:hAnsi="Times" w:cs="Times"/>
                <w:bCs/>
                <w:sz w:val="25"/>
                <w:szCs w:val="25"/>
              </w:rPr>
              <w:t>4.1.2.4.5 Rozhodnutie týkajúce sa začlenenia iných druhov, ako sú stromy a/alebo kry, ktoré sú vhodné na</w:t>
            </w:r>
          </w:p>
          <w:p w14:paraId="5F33B11C" w14:textId="77777777" w:rsidR="00AF70DF" w:rsidRDefault="00AF70DF" w:rsidP="00764680">
            <w:pPr>
              <w:rPr>
                <w:rFonts w:ascii="Times" w:hAnsi="Times" w:cs="Times"/>
                <w:bCs/>
                <w:sz w:val="25"/>
                <w:szCs w:val="25"/>
              </w:rPr>
            </w:pPr>
            <w:r w:rsidRPr="00AF70DF">
              <w:rPr>
                <w:rFonts w:ascii="Times" w:hAnsi="Times" w:cs="Times"/>
                <w:bCs/>
                <w:sz w:val="25"/>
                <w:szCs w:val="25"/>
              </w:rPr>
              <w:t xml:space="preserve">spásanie zvieratami, pod podmienkou, že naďalej prevládajú trávy a iné bylinné krmoviny: </w:t>
            </w:r>
            <w:r w:rsidRPr="00AF70DF">
              <w:rPr>
                <w:rFonts w:ascii="Times" w:hAnsi="Times" w:cs="Times"/>
                <w:b/>
                <w:bCs/>
                <w:sz w:val="25"/>
                <w:szCs w:val="25"/>
              </w:rPr>
              <w:t>Nie</w:t>
            </w:r>
          </w:p>
          <w:p w14:paraId="42BCE34C" w14:textId="62A0C35F" w:rsidR="00EE05C8" w:rsidRDefault="00EE05C8" w:rsidP="00EE05C8">
            <w:pPr>
              <w:rPr>
                <w:rFonts w:ascii="Times" w:hAnsi="Times" w:cs="Times"/>
                <w:sz w:val="25"/>
                <w:szCs w:val="25"/>
              </w:rPr>
            </w:pPr>
            <w:r>
              <w:rPr>
                <w:rFonts w:ascii="Times" w:hAnsi="Times" w:cs="Times"/>
                <w:sz w:val="25"/>
                <w:szCs w:val="25"/>
              </w:rPr>
              <w:t>Na on-line rozporovom konaní dňa 4. 12. 2023 rozpor nebol odstránený.</w:t>
            </w:r>
          </w:p>
          <w:p w14:paraId="4C73FF7C" w14:textId="3B95FCC4" w:rsidR="00BF1673" w:rsidRPr="00866AB5" w:rsidRDefault="00BF1673" w:rsidP="00EE05C8">
            <w:pPr>
              <w:rPr>
                <w:rFonts w:ascii="Times" w:hAnsi="Times" w:cs="Times"/>
                <w:sz w:val="25"/>
                <w:szCs w:val="25"/>
              </w:rPr>
            </w:pPr>
            <w:r w:rsidRPr="00BF1673">
              <w:rPr>
                <w:rFonts w:ascii="Times" w:hAnsi="Times" w:cs="Times"/>
                <w:sz w:val="25"/>
                <w:szCs w:val="25"/>
              </w:rPr>
              <w:t xml:space="preserve">Navrhovaná zmena znenia definície TTP v rámci SP SPP 2023-2027 nebola súčasťou 1. modifikácie SP SPP 2023-2027, z uvedeného dôvodu nebola uskutočnená zmena znenia a nie je možné pripomienke vyhovieť. </w:t>
            </w:r>
            <w:r w:rsidRPr="00BF1673">
              <w:rPr>
                <w:rFonts w:ascii="Times" w:hAnsi="Times" w:cs="Times"/>
                <w:sz w:val="25"/>
                <w:szCs w:val="25"/>
              </w:rPr>
              <w:lastRenderedPageBreak/>
              <w:t>Možná zmena bude možná prostredníctvom 2. modifikácie SP SPP 2023-2027 v 1. polroku 2024.</w:t>
            </w:r>
          </w:p>
          <w:p w14:paraId="3A765119" w14:textId="77777777" w:rsidR="00AF70DF" w:rsidRPr="00901977" w:rsidRDefault="00E202F4" w:rsidP="00764680">
            <w:pPr>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 xml:space="preserve">SPPK </w:t>
            </w:r>
            <w:r w:rsidR="005B483D" w:rsidRPr="00901977">
              <w:rPr>
                <w:rFonts w:ascii="Times New Roman" w:hAnsi="Times New Roman" w:cs="Times New Roman"/>
                <w:b/>
                <w:bCs/>
                <w:sz w:val="24"/>
                <w:szCs w:val="24"/>
                <w:u w:val="single"/>
              </w:rPr>
              <w:t xml:space="preserve">od roku 2019 upozorňuje, že nie je dôvod, aby plochy aj s výskytom kríkov neboli spôsobilé na poskytovanie priamych podpôr. </w:t>
            </w:r>
          </w:p>
          <w:p w14:paraId="01BCACCF" w14:textId="77777777" w:rsidR="005B483D" w:rsidRPr="00901977" w:rsidRDefault="005B483D" w:rsidP="00764680">
            <w:pPr>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Nasledovne uvádzame časť argumentov pre akceptovanie nami navrhovanej definície TTP:</w:t>
            </w:r>
          </w:p>
          <w:p w14:paraId="3E3E3008" w14:textId="4741BB2C" w:rsidR="005B483D" w:rsidRPr="00901977" w:rsidRDefault="005B483D" w:rsidP="005B483D">
            <w:pPr>
              <w:numPr>
                <w:ilvl w:val="0"/>
                <w:numId w:val="2"/>
              </w:numPr>
              <w:spacing w:after="0" w:line="276" w:lineRule="auto"/>
              <w:ind w:left="426"/>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 xml:space="preserve">poľnohospodár </w:t>
            </w:r>
            <w:r w:rsidR="002300F1" w:rsidRPr="00901977">
              <w:rPr>
                <w:rFonts w:ascii="Times New Roman" w:hAnsi="Times New Roman" w:cs="Times New Roman"/>
                <w:b/>
                <w:bCs/>
                <w:sz w:val="24"/>
                <w:szCs w:val="24"/>
                <w:u w:val="single"/>
              </w:rPr>
              <w:t>tieto</w:t>
            </w:r>
            <w:r w:rsidRPr="00901977">
              <w:rPr>
                <w:rFonts w:ascii="Times New Roman" w:hAnsi="Times New Roman" w:cs="Times New Roman"/>
                <w:b/>
                <w:bCs/>
                <w:sz w:val="24"/>
                <w:szCs w:val="24"/>
                <w:u w:val="single"/>
              </w:rPr>
              <w:t xml:space="preserve"> ploch</w:t>
            </w:r>
            <w:r w:rsidR="002300F1" w:rsidRPr="00901977">
              <w:rPr>
                <w:rFonts w:ascii="Times New Roman" w:hAnsi="Times New Roman" w:cs="Times New Roman"/>
                <w:b/>
                <w:bCs/>
                <w:sz w:val="24"/>
                <w:szCs w:val="24"/>
                <w:u w:val="single"/>
              </w:rPr>
              <w:t>y</w:t>
            </w:r>
            <w:r w:rsidRPr="00901977">
              <w:rPr>
                <w:rFonts w:ascii="Times New Roman" w:hAnsi="Times New Roman" w:cs="Times New Roman"/>
                <w:b/>
                <w:bCs/>
                <w:sz w:val="24"/>
                <w:szCs w:val="24"/>
                <w:u w:val="single"/>
              </w:rPr>
              <w:t xml:space="preserve"> prioritne používa na poľnohospodársku činnosť, presnejšie povedané, používa </w:t>
            </w:r>
            <w:r w:rsidR="002300F1" w:rsidRPr="00901977">
              <w:rPr>
                <w:rFonts w:ascii="Times New Roman" w:hAnsi="Times New Roman" w:cs="Times New Roman"/>
                <w:b/>
                <w:bCs/>
                <w:sz w:val="24"/>
                <w:szCs w:val="24"/>
                <w:u w:val="single"/>
              </w:rPr>
              <w:t>ich</w:t>
            </w:r>
            <w:r w:rsidRPr="00901977">
              <w:rPr>
                <w:rFonts w:ascii="Times New Roman" w:hAnsi="Times New Roman" w:cs="Times New Roman"/>
                <w:b/>
                <w:bCs/>
                <w:sz w:val="24"/>
                <w:szCs w:val="24"/>
                <w:u w:val="single"/>
              </w:rPr>
              <w:t xml:space="preserve"> výlučne na poľnohospodársku činnosť, preto plocha má byť spôsobilá podľa platnej právnej úpravy,</w:t>
            </w:r>
          </w:p>
          <w:p w14:paraId="72C56A8A" w14:textId="77777777" w:rsidR="005B483D" w:rsidRPr="00901977" w:rsidRDefault="005B483D" w:rsidP="005B483D">
            <w:pPr>
              <w:numPr>
                <w:ilvl w:val="0"/>
                <w:numId w:val="2"/>
              </w:numPr>
              <w:spacing w:after="0" w:line="276" w:lineRule="auto"/>
              <w:ind w:left="426"/>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plocha je kosená a/alebo pasená, prípadne doplnkovo mulčovaná, preto má byť spôsobilá podľa platnej právnej úpravy,</w:t>
            </w:r>
          </w:p>
          <w:p w14:paraId="641976DA" w14:textId="77777777" w:rsidR="005B483D" w:rsidRPr="00901977" w:rsidRDefault="005B483D" w:rsidP="005B483D">
            <w:pPr>
              <w:numPr>
                <w:ilvl w:val="0"/>
                <w:numId w:val="2"/>
              </w:numPr>
              <w:spacing w:after="0" w:line="276" w:lineRule="auto"/>
              <w:ind w:left="426"/>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všetky typy vykonaných prác sú zapísané v predpísanej forme evidencie pozemkov v zmysle príslušnej vnútroštátnej právnej úpravy a sú kontrolovateľné,</w:t>
            </w:r>
          </w:p>
          <w:p w14:paraId="3FF17E3C" w14:textId="77777777" w:rsidR="005B483D" w:rsidRPr="00901977" w:rsidRDefault="005B483D" w:rsidP="005B483D">
            <w:pPr>
              <w:numPr>
                <w:ilvl w:val="0"/>
                <w:numId w:val="2"/>
              </w:numPr>
              <w:spacing w:after="0" w:line="276" w:lineRule="auto"/>
              <w:ind w:left="426"/>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 xml:space="preserve">hmota z tejto plochy sa používa  na výživu hospodárskych zvierat, predovšetkým prežúvavcov, preto má byť spôsobilá podľa platnej právnej úpravy, </w:t>
            </w:r>
          </w:p>
          <w:p w14:paraId="2F081A41" w14:textId="77777777" w:rsidR="005B483D" w:rsidRPr="00901977" w:rsidRDefault="005B483D" w:rsidP="005B483D">
            <w:pPr>
              <w:numPr>
                <w:ilvl w:val="0"/>
                <w:numId w:val="2"/>
              </w:numPr>
              <w:spacing w:after="0" w:line="276" w:lineRule="auto"/>
              <w:ind w:left="426"/>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spôsob využívania plochy je v súlade s NV SR č. 342/2014 Z. z. a s usmernením k tomuto NV SR pre uznanie spôsobilosti pre poskytovanie podpôr; znenie týchto noriem nevylučuje túto plochu, preto má byť spôsobilá podľa platnej právnej úpravy,</w:t>
            </w:r>
          </w:p>
          <w:p w14:paraId="16F02AFE" w14:textId="3FB65B47" w:rsidR="005B483D" w:rsidRPr="00901977" w:rsidRDefault="005B483D" w:rsidP="005B483D">
            <w:pPr>
              <w:numPr>
                <w:ilvl w:val="0"/>
                <w:numId w:val="2"/>
              </w:numPr>
              <w:spacing w:after="0" w:line="276" w:lineRule="auto"/>
              <w:ind w:left="426"/>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 xml:space="preserve">dotknutá plocha je v zmysle zákona evidovaná ako </w:t>
            </w:r>
            <w:r w:rsidRPr="00901977">
              <w:rPr>
                <w:rFonts w:ascii="Times New Roman" w:hAnsi="Times New Roman" w:cs="Times New Roman"/>
                <w:b/>
                <w:bCs/>
                <w:sz w:val="24"/>
                <w:szCs w:val="24"/>
                <w:u w:val="single"/>
              </w:rPr>
              <w:lastRenderedPageBreak/>
              <w:t xml:space="preserve">poľnohospodárska pôda, súčasne je za túto plochu platená daň z pozemkov ako za poľnohospodársku pôdu, preto má byť spôsobilá podľa platnej právnej úpravy. </w:t>
            </w:r>
          </w:p>
          <w:p w14:paraId="16AE1F61" w14:textId="77777777" w:rsidR="005B483D" w:rsidRPr="00901977" w:rsidRDefault="005B483D" w:rsidP="005B483D">
            <w:pPr>
              <w:numPr>
                <w:ilvl w:val="0"/>
                <w:numId w:val="2"/>
              </w:numPr>
              <w:spacing w:after="0" w:line="276" w:lineRule="auto"/>
              <w:ind w:left="426"/>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právo EÚ je nadradené právu Slovenskej republiky, pričom :</w:t>
            </w:r>
          </w:p>
          <w:p w14:paraId="30F67C32" w14:textId="77777777" w:rsidR="005B483D" w:rsidRPr="00901977" w:rsidRDefault="005B483D" w:rsidP="005B483D">
            <w:pPr>
              <w:numPr>
                <w:ilvl w:val="0"/>
                <w:numId w:val="3"/>
              </w:numPr>
              <w:spacing w:after="0" w:line="276" w:lineRule="auto"/>
              <w:ind w:left="851" w:hanging="284"/>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podľa čl. 4 ods. 1 písm. e) nariadenia Európskeho parlamentu a Rady č. 1307/2013 je  poľnohospodárska pôda definovaná ako „akákoľvek plocha, ktorú zaberá orná pôda, trvalý trávny porast a trvalé pasienky alebo trvalé plodiny;", t. j. má byť spôsobilá podľa platnej právnej úpravy;</w:t>
            </w:r>
          </w:p>
          <w:p w14:paraId="7B07473A" w14:textId="77777777" w:rsidR="005B483D" w:rsidRPr="00901977" w:rsidRDefault="005B483D" w:rsidP="005B483D">
            <w:pPr>
              <w:numPr>
                <w:ilvl w:val="0"/>
                <w:numId w:val="3"/>
              </w:numPr>
              <w:spacing w:after="0" w:line="276" w:lineRule="auto"/>
              <w:ind w:left="851" w:hanging="284"/>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 xml:space="preserve">čl. 4 ods.1 písm. h) nariadenia Európskeho parlamentu a Rady č. 1307/2013 definuje trvalý trávny porast nasledovne: „trvalý trávny porast a trvalé pasienky (spolu ďalej len „trvalý trávny porast“) predstavujú pôdu využívanú na pestovanie tráv alebo iných rastlinných krmív (samovysiatych) alebo pestovaných (siatych), ktorá nebola zahrnutá do systému striedania plodín v podniku päť alebo viac rokov; môžu sem patriť aj iné druhy ako kry a/alebo stromy, ktoré sa môžu spásať, pod podmienkou, že trávy a iné rastlinné krmivá prevládajú, a tiež ak členské štáty rozhodnú, môže sem patriť pôda, ktorú možno spásať a ktorá je </w:t>
            </w:r>
            <w:r w:rsidRPr="00901977">
              <w:rPr>
                <w:rFonts w:ascii="Times New Roman" w:hAnsi="Times New Roman" w:cs="Times New Roman"/>
                <w:b/>
                <w:bCs/>
                <w:sz w:val="24"/>
                <w:szCs w:val="24"/>
                <w:u w:val="single"/>
              </w:rPr>
              <w:lastRenderedPageBreak/>
              <w:t>súčasťou zaužívaných miestnych postupov, pri ktorých trávy a iné rastlinné krmivo tradične na spásaných plochách neprevládajú;</w:t>
            </w:r>
          </w:p>
          <w:p w14:paraId="61447DB2" w14:textId="77777777" w:rsidR="005B483D" w:rsidRPr="00901977" w:rsidRDefault="005B483D" w:rsidP="005B483D">
            <w:pPr>
              <w:numPr>
                <w:ilvl w:val="0"/>
                <w:numId w:val="3"/>
              </w:numPr>
              <w:spacing w:after="0" w:line="276" w:lineRule="auto"/>
              <w:ind w:left="851" w:hanging="284"/>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podľa nariadenia Európskeho parlamentu a Rady č. 1307/2013, členské štáty môžu rozhodnúť, že je taká plocha spôsobilá. MPRV SR preto môže túto plochu uznať ako spôsobilú.</w:t>
            </w:r>
          </w:p>
          <w:p w14:paraId="1B96F8CC" w14:textId="77777777" w:rsidR="005B483D" w:rsidRPr="00901977" w:rsidRDefault="005B483D" w:rsidP="005B483D">
            <w:pPr>
              <w:spacing w:line="276" w:lineRule="auto"/>
              <w:jc w:val="both"/>
              <w:rPr>
                <w:rFonts w:ascii="Times New Roman" w:hAnsi="Times New Roman" w:cs="Times New Roman"/>
                <w:b/>
                <w:bCs/>
                <w:sz w:val="24"/>
                <w:szCs w:val="24"/>
                <w:u w:val="single"/>
              </w:rPr>
            </w:pPr>
          </w:p>
          <w:p w14:paraId="09D36981" w14:textId="63A947DB" w:rsidR="005B483D" w:rsidRPr="00901977" w:rsidRDefault="005B483D" w:rsidP="005B483D">
            <w:pPr>
              <w:spacing w:line="276" w:lineRule="auto"/>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Okrem toho, si v prospech žiadateľov v tejto veci dovoľujem</w:t>
            </w:r>
            <w:r w:rsidR="002300F1" w:rsidRPr="00901977">
              <w:rPr>
                <w:rFonts w:ascii="Times New Roman" w:hAnsi="Times New Roman" w:cs="Times New Roman"/>
                <w:b/>
                <w:bCs/>
                <w:sz w:val="24"/>
                <w:szCs w:val="24"/>
                <w:u w:val="single"/>
              </w:rPr>
              <w:t>e</w:t>
            </w:r>
            <w:r w:rsidRPr="00901977">
              <w:rPr>
                <w:rFonts w:ascii="Times New Roman" w:hAnsi="Times New Roman" w:cs="Times New Roman"/>
                <w:b/>
                <w:bCs/>
                <w:sz w:val="24"/>
                <w:szCs w:val="24"/>
                <w:u w:val="single"/>
              </w:rPr>
              <w:t xml:space="preserve"> uviesť, že</w:t>
            </w:r>
            <w:r w:rsidR="002300F1" w:rsidRPr="00901977">
              <w:rPr>
                <w:rFonts w:ascii="Times New Roman" w:hAnsi="Times New Roman" w:cs="Times New Roman"/>
                <w:b/>
                <w:bCs/>
                <w:sz w:val="24"/>
                <w:szCs w:val="24"/>
                <w:u w:val="single"/>
              </w:rPr>
              <w:t>:</w:t>
            </w:r>
          </w:p>
          <w:p w14:paraId="76526473" w14:textId="77777777" w:rsidR="005B483D" w:rsidRPr="00901977" w:rsidRDefault="005B483D" w:rsidP="005B483D">
            <w:pPr>
              <w:numPr>
                <w:ilvl w:val="1"/>
                <w:numId w:val="4"/>
              </w:numPr>
              <w:spacing w:after="0" w:line="276" w:lineRule="auto"/>
              <w:ind w:left="426"/>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Štátna ochrana prírody Slovenskej republiky časť dotknutých plôch zaradila aj medzi biotopy, ktoré sú súčasťou sústavy chránených území Natura 2000 (tieto plochy vyžadujú citlivý manažment hospodárenia pre ich dlhodobú udržateľnosť) ako spôsobilú pôdu a správca LPIS tieto plochy viac rokov akceptoval ako spôsobilé, čo je nespochybniteľný dôkaz o spôsobilosti týchto plôch. Ostatné biotopy správca LPIS naďalej akceptuje v LPIS ako spôsobilé. Biotopy sú definované v katalógu biotopov Slovenskej republiky s predpísaným manažmentom hospodárenia, pričom poľnohospodári hospodária na týchto plochách v súlade s predpísaným manažmentom (kosenie a/alebo pasenie určenej intenzity a spôsobu) a teda majú byť tieto plochy spôsobilé,</w:t>
            </w:r>
          </w:p>
          <w:p w14:paraId="51E48B7C" w14:textId="77777777" w:rsidR="005B483D" w:rsidRPr="00901977" w:rsidRDefault="005B483D" w:rsidP="005B483D">
            <w:pPr>
              <w:numPr>
                <w:ilvl w:val="1"/>
                <w:numId w:val="4"/>
              </w:numPr>
              <w:spacing w:after="0" w:line="276" w:lineRule="auto"/>
              <w:ind w:left="426"/>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lastRenderedPageBreak/>
              <w:t>z hľadiska botanického zloženia sa napr. v prípade biotopov jedná o druhovo bohaté, vzácne typy porastov, ktoré majú aj fragmentárny výskyt a jedine poľnohospodársky spôsob využívania môže ich existenciu udržať dlhodobo a v požadovanej kvalite, tzn. tieto plochy majú veľký význam aj z hľadiska udržiavania kvality krajiny,</w:t>
            </w:r>
          </w:p>
          <w:p w14:paraId="47C7E9B1" w14:textId="77777777" w:rsidR="005B483D" w:rsidRPr="00901977" w:rsidRDefault="005B483D" w:rsidP="005B483D">
            <w:pPr>
              <w:numPr>
                <w:ilvl w:val="1"/>
                <w:numId w:val="4"/>
              </w:numPr>
              <w:spacing w:after="0" w:line="276" w:lineRule="auto"/>
              <w:ind w:left="426"/>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vo väčšine prípadov sa jedná o poloprírodné porasty, tzn. vznikli pôsobením človeka a udržateľné sú iba pri hospodárení intenzitou príslušnou pre konkrétny typ plochy, resp. pre konkrétnu plochu. V prípade absencie poľnohospodárskej činnosti tieto biotopy zaniknú,</w:t>
            </w:r>
          </w:p>
          <w:p w14:paraId="5B5CF661" w14:textId="77777777" w:rsidR="005B483D" w:rsidRPr="00901977" w:rsidRDefault="005B483D" w:rsidP="005B483D">
            <w:pPr>
              <w:numPr>
                <w:ilvl w:val="1"/>
                <w:numId w:val="4"/>
              </w:numPr>
              <w:spacing w:after="0" w:line="276" w:lineRule="auto"/>
              <w:ind w:left="426"/>
              <w:jc w:val="both"/>
              <w:rPr>
                <w:rFonts w:ascii="Times New Roman" w:hAnsi="Times New Roman" w:cs="Times New Roman"/>
                <w:b/>
                <w:bCs/>
                <w:sz w:val="24"/>
                <w:szCs w:val="24"/>
                <w:u w:val="single"/>
              </w:rPr>
            </w:pPr>
            <w:r w:rsidRPr="00901977">
              <w:rPr>
                <w:rFonts w:ascii="Times New Roman" w:hAnsi="Times New Roman" w:cs="Times New Roman"/>
                <w:b/>
                <w:bCs/>
                <w:sz w:val="24"/>
                <w:szCs w:val="24"/>
                <w:u w:val="single"/>
              </w:rPr>
              <w:t>z hľadiska výživy a vývinu hospodárskych zvierat (predovšetkým prežúvavcov) tieto plochy predstavujú najkvalitnejší zdroj krmív obsahujúci nielen nutričné, ale aj antinutričné a liečivé látky a už samotný tvrdý pohyb po pasienku napomáha utvárať silnú kostru, osvalenie, vysokokapacitnú dýchaciu sústavu ako základ budúcej dlhovekosti a produktívnosti hospodárskych zvierat. Tieto plochy teda spĺňajú kritériá poľnohospodárskej pôdy,</w:t>
            </w:r>
          </w:p>
          <w:p w14:paraId="5D1E6646" w14:textId="4EDF32B6" w:rsidR="005B483D" w:rsidRPr="002300F1" w:rsidRDefault="005B483D" w:rsidP="002300F1">
            <w:pPr>
              <w:numPr>
                <w:ilvl w:val="1"/>
                <w:numId w:val="4"/>
              </w:numPr>
              <w:spacing w:after="0" w:line="276" w:lineRule="auto"/>
              <w:ind w:left="426"/>
              <w:jc w:val="both"/>
              <w:rPr>
                <w:rFonts w:ascii="Arial Narrow" w:hAnsi="Arial Narrow" w:cs="Calibri"/>
              </w:rPr>
            </w:pPr>
            <w:r w:rsidRPr="00901977">
              <w:rPr>
                <w:rFonts w:ascii="Times New Roman" w:hAnsi="Times New Roman" w:cs="Times New Roman"/>
                <w:b/>
                <w:bCs/>
                <w:sz w:val="24"/>
                <w:szCs w:val="24"/>
                <w:u w:val="single"/>
              </w:rPr>
              <w:t>ak sa na dotknutých plochách nebude hospodáriť kosením, pasením, tieto plochy zarastú. Ak tieto plochy budú iba mulčované, zarastú vplyvom nekosenia, nepasenia alebo bude znehodnocovaná ich kvalita vplyvom mulčovania</w:t>
            </w:r>
            <w:r w:rsidR="002300F1" w:rsidRPr="00901977">
              <w:rPr>
                <w:rFonts w:ascii="Times New Roman" w:hAnsi="Times New Roman" w:cs="Times New Roman"/>
                <w:b/>
                <w:bCs/>
                <w:sz w:val="24"/>
                <w:szCs w:val="24"/>
                <w:u w:val="single"/>
              </w:rPr>
              <w:t>.</w:t>
            </w:r>
          </w:p>
        </w:tc>
      </w:tr>
    </w:tbl>
    <w:p w14:paraId="114BDDE1" w14:textId="77777777" w:rsidR="00F24AC7" w:rsidRDefault="00F24AC7"/>
    <w:sectPr w:rsidR="00F24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Noto IKEA Latin">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E2BE6"/>
    <w:multiLevelType w:val="hybridMultilevel"/>
    <w:tmpl w:val="4B94D09C"/>
    <w:lvl w:ilvl="0" w:tplc="9BC456C6">
      <w:start w:val="1"/>
      <w:numFmt w:val="bullet"/>
      <w:lvlText w:val="▪"/>
      <w:lvlJc w:val="left"/>
      <w:pPr>
        <w:ind w:left="720" w:hanging="360"/>
      </w:pPr>
      <w:rPr>
        <w:rFonts w:ascii="Sylfaen" w:hAnsi="Sylfae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3E921C6"/>
    <w:multiLevelType w:val="hybridMultilevel"/>
    <w:tmpl w:val="501814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A1A444C"/>
    <w:multiLevelType w:val="hybridMultilevel"/>
    <w:tmpl w:val="77C2B248"/>
    <w:lvl w:ilvl="0" w:tplc="58A87E54">
      <w:start w:val="1"/>
      <w:numFmt w:val="decimal"/>
      <w:lvlText w:val="%1."/>
      <w:lvlJc w:val="left"/>
      <w:pPr>
        <w:ind w:left="786" w:hanging="360"/>
      </w:pPr>
      <w:rPr>
        <w:rFonts w:hint="default"/>
      </w:rPr>
    </w:lvl>
    <w:lvl w:ilvl="1" w:tplc="1ED2D6CC">
      <w:start w:val="1"/>
      <w:numFmt w:val="bullet"/>
      <w:lvlText w:val="-"/>
      <w:lvlJc w:val="left"/>
      <w:pPr>
        <w:ind w:left="1506" w:hanging="360"/>
      </w:pPr>
      <w:rPr>
        <w:rFonts w:ascii="Arial Narrow" w:eastAsia="Times New Roman" w:hAnsi="Arial Narrow" w:cs="Calibri"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3C490265"/>
    <w:multiLevelType w:val="hybridMultilevel"/>
    <w:tmpl w:val="5B60D5FC"/>
    <w:lvl w:ilvl="0" w:tplc="5DEEFE38">
      <w:start w:val="1"/>
      <w:numFmt w:val="bullet"/>
      <w:lvlText w:val=""/>
      <w:lvlJc w:val="left"/>
      <w:pPr>
        <w:ind w:left="720" w:hanging="360"/>
      </w:pPr>
      <w:rPr>
        <w:rFonts w:ascii="Symbol" w:hAnsi="Symbol" w:hint="default"/>
      </w:rPr>
    </w:lvl>
    <w:lvl w:ilvl="1" w:tplc="9BC456C6">
      <w:start w:val="1"/>
      <w:numFmt w:val="bullet"/>
      <w:lvlText w:val="▪"/>
      <w:lvlJc w:val="left"/>
      <w:pPr>
        <w:ind w:left="1440" w:hanging="360"/>
      </w:pPr>
      <w:rPr>
        <w:rFonts w:ascii="Sylfaen" w:hAnsi="Sylfae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44782192">
    <w:abstractNumId w:val="1"/>
  </w:num>
  <w:num w:numId="2" w16cid:durableId="1558542213">
    <w:abstractNumId w:val="0"/>
  </w:num>
  <w:num w:numId="3" w16cid:durableId="1070885652">
    <w:abstractNumId w:val="2"/>
  </w:num>
  <w:num w:numId="4" w16cid:durableId="1610551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73"/>
    <w:rsid w:val="002300F1"/>
    <w:rsid w:val="0029477C"/>
    <w:rsid w:val="002C190D"/>
    <w:rsid w:val="003D5811"/>
    <w:rsid w:val="003F699F"/>
    <w:rsid w:val="00526E51"/>
    <w:rsid w:val="005B483D"/>
    <w:rsid w:val="00850F73"/>
    <w:rsid w:val="00866AB5"/>
    <w:rsid w:val="00873306"/>
    <w:rsid w:val="00901977"/>
    <w:rsid w:val="00AF70DF"/>
    <w:rsid w:val="00B34F34"/>
    <w:rsid w:val="00BF1673"/>
    <w:rsid w:val="00D17E7D"/>
    <w:rsid w:val="00D75A5E"/>
    <w:rsid w:val="00D7788B"/>
    <w:rsid w:val="00E1459D"/>
    <w:rsid w:val="00E202F4"/>
    <w:rsid w:val="00EC1448"/>
    <w:rsid w:val="00EE05C8"/>
    <w:rsid w:val="00EF4245"/>
    <w:rsid w:val="00F24AC7"/>
    <w:rsid w:val="00FA52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0DF3"/>
  <w15:chartTrackingRefBased/>
  <w15:docId w15:val="{950CCECB-9557-4EED-B01E-F0A840EA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AF70DF"/>
    <w:rPr>
      <w:sz w:val="16"/>
      <w:szCs w:val="16"/>
    </w:rPr>
  </w:style>
  <w:style w:type="paragraph" w:styleId="Textkomentra">
    <w:name w:val="annotation text"/>
    <w:basedOn w:val="Normlny"/>
    <w:link w:val="TextkomentraChar"/>
    <w:uiPriority w:val="99"/>
    <w:semiHidden/>
    <w:unhideWhenUsed/>
    <w:rsid w:val="00AF70DF"/>
    <w:pPr>
      <w:widowControl w:val="0"/>
      <w:adjustRightInd w:val="0"/>
      <w:spacing w:after="200"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AF70DF"/>
    <w:rPr>
      <w:rFonts w:ascii="Calibri" w:eastAsia="Times New Roman" w:hAnsi="Calibri" w:cs="Times New Roman"/>
      <w:sz w:val="20"/>
      <w:szCs w:val="20"/>
    </w:rPr>
  </w:style>
  <w:style w:type="paragraph" w:styleId="Textbubliny">
    <w:name w:val="Balloon Text"/>
    <w:basedOn w:val="Normlny"/>
    <w:link w:val="TextbublinyChar"/>
    <w:uiPriority w:val="99"/>
    <w:semiHidden/>
    <w:unhideWhenUsed/>
    <w:rsid w:val="00AF70D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70DF"/>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B34F34"/>
    <w:pPr>
      <w:widowControl/>
      <w:adjustRightInd/>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B34F34"/>
    <w:rPr>
      <w:rFonts w:ascii="Calibri" w:eastAsia="Times New Roman" w:hAnsi="Calibri" w:cs="Times New Roman"/>
      <w:b/>
      <w:bCs/>
      <w:sz w:val="20"/>
      <w:szCs w:val="20"/>
    </w:rPr>
  </w:style>
  <w:style w:type="paragraph" w:styleId="Odsekzoznamu">
    <w:name w:val="List Paragraph"/>
    <w:basedOn w:val="Normlny"/>
    <w:uiPriority w:val="34"/>
    <w:qFormat/>
    <w:rsid w:val="00EC1448"/>
    <w:pPr>
      <w:ind w:left="720"/>
      <w:contextualSpacing/>
    </w:pPr>
  </w:style>
  <w:style w:type="character" w:styleId="Hypertextovprepojenie">
    <w:name w:val="Hyperlink"/>
    <w:basedOn w:val="Predvolenpsmoodseku"/>
    <w:uiPriority w:val="99"/>
    <w:semiHidden/>
    <w:unhideWhenUsed/>
    <w:rsid w:val="008733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lnoinfo.sk/trvaly-tlak-envirorezortu-priniesol-vysledok-slovensky-pestovatel-zazil-debake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C84DC-8DED-4E6B-98C8-2F76ABF9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3727</Words>
  <Characters>21248</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Zachardová Barbora</dc:creator>
  <cp:keywords/>
  <dc:description/>
  <cp:lastModifiedBy>Kosibova SPPK</cp:lastModifiedBy>
  <cp:revision>5</cp:revision>
  <dcterms:created xsi:type="dcterms:W3CDTF">2023-12-04T13:34:00Z</dcterms:created>
  <dcterms:modified xsi:type="dcterms:W3CDTF">2023-12-06T13:55:00Z</dcterms:modified>
</cp:coreProperties>
</file>