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1171"/>
        <w:gridCol w:w="1171"/>
        <w:gridCol w:w="1171"/>
        <w:gridCol w:w="1171"/>
        <w:gridCol w:w="1171"/>
        <w:gridCol w:w="1171"/>
        <w:gridCol w:w="1171"/>
        <w:gridCol w:w="1226"/>
        <w:gridCol w:w="1171"/>
        <w:gridCol w:w="1116"/>
        <w:gridCol w:w="1171"/>
      </w:tblGrid>
      <w:tr w:rsidR="00BF7FF0" w:rsidRPr="00BF7FF0" w14:paraId="5307874E" w14:textId="77777777" w:rsidTr="00BF7FF0">
        <w:trPr>
          <w:trHeight w:val="265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2CAFD" w14:textId="77777777" w:rsidR="00BF7FF0" w:rsidRPr="00BF7FF0" w:rsidRDefault="00BF7FF0" w:rsidP="00BF7F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DOVOZ v mil. EUR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3CAE" w14:textId="77777777" w:rsidR="00BF7FF0" w:rsidRPr="00BF7FF0" w:rsidRDefault="00BF7FF0" w:rsidP="00BF7F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A0D8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832C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D679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AF3C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4B04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B777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0FFE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7338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0422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6F8E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F7FF0" w:rsidRPr="00BF7FF0" w14:paraId="5B8EC9D3" w14:textId="77777777" w:rsidTr="00BF7FF0">
        <w:trPr>
          <w:trHeight w:val="265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2DEAAAD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Odvetvie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346ABE8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2016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93D9CD4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2017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BB637AC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2018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882A656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2019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7341DF6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2020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56E55B7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2021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4DAFDCE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2022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047CE1C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2023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DBACED5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29D7FDE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2025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F3F5439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2026</w:t>
            </w:r>
          </w:p>
        </w:tc>
      </w:tr>
      <w:tr w:rsidR="00BF7FF0" w:rsidRPr="00BF7FF0" w14:paraId="501DDA5D" w14:textId="77777777" w:rsidTr="00BF7FF0">
        <w:trPr>
          <w:trHeight w:val="26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1898F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Živočíšne výrobky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6E79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0B333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236,3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78FB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0E6F9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263,2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9BE9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314,7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1826A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51B82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359,3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D45EE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400,3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0B764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502,4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861CE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CD39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449,5</w:t>
            </w:r>
          </w:p>
        </w:tc>
      </w:tr>
      <w:tr w:rsidR="00BF7FF0" w:rsidRPr="00BF7FF0" w14:paraId="55BEA83E" w14:textId="77777777" w:rsidTr="00BF7FF0">
        <w:trPr>
          <w:trHeight w:val="26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EF675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Rastlinné výrobky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1A3B9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292,0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2B30B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B87BC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297,0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30FDE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318,8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45F9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332,8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3D03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322,8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795D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400,3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C1413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491,4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AF4DE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0CBE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499,2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C36C9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527,3</w:t>
            </w:r>
          </w:p>
        </w:tc>
      </w:tr>
      <w:tr w:rsidR="00BF7FF0" w:rsidRPr="00BF7FF0" w14:paraId="737A0ADD" w14:textId="77777777" w:rsidTr="00BF7FF0">
        <w:trPr>
          <w:trHeight w:val="26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92998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Tuky, oleje, vosky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D623E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EBCF1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329EA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CBD0F9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35,3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CA791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41,9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5279C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D85E1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5EC64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107,4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AA87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72,1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EE6C1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124,2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7530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114,4</w:t>
            </w:r>
          </w:p>
        </w:tc>
      </w:tr>
      <w:tr w:rsidR="00BF7FF0" w:rsidRPr="00BF7FF0" w14:paraId="4F4E1D0B" w14:textId="77777777" w:rsidTr="00BF7FF0">
        <w:trPr>
          <w:trHeight w:val="26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FA4C4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Potraviny, nápoje, tabak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0BD03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459,7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FCC5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460,4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F24E9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502,0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7C96C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529,3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718B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589,5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BEE3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608,1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E5D4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697,3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8CD6C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866,7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7E79B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921,1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D0D4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1018,0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46E0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1007,1</w:t>
            </w:r>
          </w:p>
        </w:tc>
      </w:tr>
      <w:tr w:rsidR="00BF7FF0" w:rsidRPr="00BF7FF0" w14:paraId="7FA3CFBC" w14:textId="77777777" w:rsidTr="00BF7FF0">
        <w:trPr>
          <w:trHeight w:val="26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2BD1DD2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Spolu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C2DA734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1003,1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E744C4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1015,9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E9F678E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1107,3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454A719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1146,6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E9B554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bookmarkStart w:id="0" w:name="RANGE!F7"/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1278,8</w:t>
            </w:r>
            <w:bookmarkEnd w:id="0"/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824686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1239,1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7C613F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1538,9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4F85DF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1865,8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73AB7C2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1948,0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2A86930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2094,9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1D83CDE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2098,3</w:t>
            </w:r>
          </w:p>
        </w:tc>
      </w:tr>
    </w:tbl>
    <w:p w14:paraId="7BB8ED2C" w14:textId="28657FDC" w:rsidR="00BF7FF0" w:rsidRDefault="00BF7FF0">
      <w:r>
        <w:rPr>
          <w:noProof/>
        </w:rPr>
        <w:drawing>
          <wp:inline distT="0" distB="0" distL="0" distR="0" wp14:anchorId="56C1D35E" wp14:editId="7457A299">
            <wp:extent cx="7181850" cy="2931795"/>
            <wp:effectExtent l="0" t="0" r="0" b="1905"/>
            <wp:docPr id="149345804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4495C1AB-AEE4-4C52-9B38-5E4D394D79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8E6E1F4" w14:textId="77777777" w:rsidR="00BF7FF0" w:rsidRDefault="00BF7FF0">
      <w:r>
        <w:br w:type="page"/>
      </w:r>
    </w:p>
    <w:tbl>
      <w:tblPr>
        <w:tblW w:w="14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1166"/>
        <w:gridCol w:w="1166"/>
        <w:gridCol w:w="1166"/>
        <w:gridCol w:w="1166"/>
        <w:gridCol w:w="1166"/>
        <w:gridCol w:w="1166"/>
        <w:gridCol w:w="1166"/>
        <w:gridCol w:w="1220"/>
        <w:gridCol w:w="1166"/>
        <w:gridCol w:w="1111"/>
        <w:gridCol w:w="1166"/>
      </w:tblGrid>
      <w:tr w:rsidR="00BF7FF0" w:rsidRPr="00BF7FF0" w14:paraId="516EA905" w14:textId="77777777" w:rsidTr="00BF7FF0">
        <w:trPr>
          <w:trHeight w:val="292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B47FD" w14:textId="77777777" w:rsidR="00BF7FF0" w:rsidRPr="00BF7FF0" w:rsidRDefault="00BF7FF0" w:rsidP="00BF7F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VÝVOZ v mil. EUR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9558" w14:textId="77777777" w:rsidR="00BF7FF0" w:rsidRPr="00BF7FF0" w:rsidRDefault="00BF7FF0" w:rsidP="00BF7F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220B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C801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9732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21EB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1C85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0696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9463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8962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5243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B021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F7FF0" w:rsidRPr="00BF7FF0" w14:paraId="19957060" w14:textId="77777777" w:rsidTr="00BF7FF0">
        <w:trPr>
          <w:trHeight w:val="292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D570627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Odvetvie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E93B7C6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2016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3FDE3D8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2017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E1AC928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2018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4A3EEC2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00B3941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9A055F7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70EDF8A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2022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30A27FE2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2023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510D744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2024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21F478F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2025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5091C75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2026</w:t>
            </w:r>
          </w:p>
        </w:tc>
      </w:tr>
      <w:tr w:rsidR="00BF7FF0" w:rsidRPr="00BF7FF0" w14:paraId="3BCECCF9" w14:textId="77777777" w:rsidTr="00BF7FF0">
        <w:trPr>
          <w:trHeight w:val="292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4CB60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Živočíšne výrobky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AD3B3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8723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268F2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164,3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0D1F9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410E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143,1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A3B47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126,9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0CAEA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177,2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54EB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9CF4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205,2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16F9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217,0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2F8C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255,3</w:t>
            </w:r>
          </w:p>
        </w:tc>
      </w:tr>
      <w:tr w:rsidR="00BF7FF0" w:rsidRPr="00BF7FF0" w14:paraId="0DD65715" w14:textId="77777777" w:rsidTr="00BF7FF0">
        <w:trPr>
          <w:trHeight w:val="292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A4ED7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Rastlinné výrobky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F548A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B021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281,6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BB232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215,0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02EC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0A4C7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279,0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E172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335,6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AD0C4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374,5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7BF60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430,7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5AD5A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388,7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8299E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156A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369,4</w:t>
            </w:r>
          </w:p>
        </w:tc>
      </w:tr>
      <w:tr w:rsidR="00BF7FF0" w:rsidRPr="00BF7FF0" w14:paraId="3F574417" w14:textId="77777777" w:rsidTr="00BF7FF0">
        <w:trPr>
          <w:trHeight w:val="292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77141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Tuky, oleje, vosky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0C66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7ED3A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4B06C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0FDB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2578E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5C904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D5D9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D54F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38,6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134C3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34,7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1FD1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47,7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877C4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44,2</w:t>
            </w:r>
          </w:p>
        </w:tc>
      </w:tr>
      <w:tr w:rsidR="00BF7FF0" w:rsidRPr="00BF7FF0" w14:paraId="382152C4" w14:textId="77777777" w:rsidTr="00BF7FF0">
        <w:trPr>
          <w:trHeight w:val="292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BEE71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Potraviny, nápoje, tabak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70E7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270,3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3960B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294,2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00C8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295,1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D3310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304,9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CEA7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343,0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BDF87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383,8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B0107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464,5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3523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599,1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5FEAC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623,7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7B52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731,5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E24AA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656,6</w:t>
            </w:r>
          </w:p>
        </w:tc>
      </w:tr>
      <w:tr w:rsidR="00BF7FF0" w:rsidRPr="00BF7FF0" w14:paraId="7C9DF842" w14:textId="77777777" w:rsidTr="00BF7FF0">
        <w:trPr>
          <w:trHeight w:val="292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1710E34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Spolu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93ADB67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640,0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1FFB14C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729,8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94170E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688,0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E94FB8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724,1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4833274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805,3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8336B14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884,8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79F9711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1070,2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0730E84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1272,2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9009F4B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1252,3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7EBC2B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1314,4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A997803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1325,5</w:t>
            </w:r>
          </w:p>
        </w:tc>
      </w:tr>
    </w:tbl>
    <w:p w14:paraId="554A8F3A" w14:textId="6583094C" w:rsidR="00BF7FF0" w:rsidRDefault="00BF7FF0">
      <w:r>
        <w:rPr>
          <w:noProof/>
        </w:rPr>
        <w:drawing>
          <wp:inline distT="0" distB="0" distL="0" distR="0" wp14:anchorId="5511C266" wp14:editId="476C0FAE">
            <wp:extent cx="7153910" cy="3002280"/>
            <wp:effectExtent l="0" t="0" r="8890" b="7620"/>
            <wp:docPr id="146244599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EED162B-DE45-47FE-A250-90BA397681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F089E52" w14:textId="77777777" w:rsidR="00BF7FF0" w:rsidRDefault="00BF7FF0">
      <w:r>
        <w:br w:type="page"/>
      </w:r>
    </w:p>
    <w:tbl>
      <w:tblPr>
        <w:tblW w:w="14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1160"/>
        <w:gridCol w:w="1160"/>
        <w:gridCol w:w="1160"/>
        <w:gridCol w:w="1160"/>
        <w:gridCol w:w="1160"/>
        <w:gridCol w:w="1160"/>
        <w:gridCol w:w="1160"/>
        <w:gridCol w:w="1215"/>
        <w:gridCol w:w="1160"/>
        <w:gridCol w:w="1107"/>
        <w:gridCol w:w="1160"/>
      </w:tblGrid>
      <w:tr w:rsidR="00BF7FF0" w:rsidRPr="00BF7FF0" w14:paraId="7BE47AA4" w14:textId="77777777" w:rsidTr="00BF7FF0">
        <w:trPr>
          <w:trHeight w:val="258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2D4D0" w14:textId="77777777" w:rsidR="00BF7FF0" w:rsidRPr="00BF7FF0" w:rsidRDefault="00BF7FF0" w:rsidP="00BF7F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SALDO v mil. EUR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1829" w14:textId="77777777" w:rsidR="00BF7FF0" w:rsidRPr="00BF7FF0" w:rsidRDefault="00BF7FF0" w:rsidP="00BF7F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CC9D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7634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9A8E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287A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C9EE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81CF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AD94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D644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BDD3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40AA" w14:textId="77777777" w:rsidR="00BF7FF0" w:rsidRPr="00BF7FF0" w:rsidRDefault="00BF7FF0" w:rsidP="00BF7F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F7FF0" w:rsidRPr="00BF7FF0" w14:paraId="4B94BD11" w14:textId="77777777" w:rsidTr="00BF7FF0">
        <w:trPr>
          <w:trHeight w:val="258"/>
        </w:trPr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741F153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Odvetvie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7D3A77E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2016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DCD31F0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2017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401A1A0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2018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DA23E01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2019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431A620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FBED38A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2021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6C664FE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2022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41D5AE3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2023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5347E8C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2024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9E790A9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2025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3A56808" w14:textId="77777777" w:rsidR="00BF7FF0" w:rsidRPr="00BF7FF0" w:rsidRDefault="00BF7FF0" w:rsidP="00BF7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III. 2026</w:t>
            </w:r>
          </w:p>
        </w:tc>
      </w:tr>
      <w:tr w:rsidR="00BF7FF0" w:rsidRPr="00BF7FF0" w14:paraId="75782124" w14:textId="77777777" w:rsidTr="00BF7FF0">
        <w:trPr>
          <w:trHeight w:val="258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61DED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Živočíšne výrobky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6E463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-74,6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49B41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-102,5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4FF07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-109,7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89764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-129,0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4CE17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-171,6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31E5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-139,1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1106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-182,1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037B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-196,5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5FC3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-297,2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A6FC7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-236,5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EE0E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-194,2</w:t>
            </w:r>
          </w:p>
        </w:tc>
      </w:tr>
      <w:tr w:rsidR="00BF7FF0" w:rsidRPr="00BF7FF0" w14:paraId="7683EDAC" w14:textId="77777777" w:rsidTr="00BF7FF0">
        <w:trPr>
          <w:trHeight w:val="258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C46A2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Rastlinné výrobky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E85B3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-89,1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BFD7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89FF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-82,0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DB4BB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-46,8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B0FEB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-53,8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EAE19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9B52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-25,8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731E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-60,7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1F5C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-63,7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EE07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-181,0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5CA6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-157,9</w:t>
            </w:r>
          </w:p>
        </w:tc>
      </w:tr>
      <w:tr w:rsidR="00BF7FF0" w:rsidRPr="00BF7FF0" w14:paraId="2750E549" w14:textId="77777777" w:rsidTr="00BF7FF0">
        <w:trPr>
          <w:trHeight w:val="258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1C84F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Tuky, oleje, vosky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E5D0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3F00C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-21,6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CC4D2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75234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96B49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5938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A85BA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913EC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-68,8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E3F6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-37,4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2C66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-76,5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3416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-70,2</w:t>
            </w:r>
          </w:p>
        </w:tc>
      </w:tr>
      <w:tr w:rsidR="00BF7FF0" w:rsidRPr="00BF7FF0" w14:paraId="696DEA87" w14:textId="77777777" w:rsidTr="00BF7FF0">
        <w:trPr>
          <w:trHeight w:val="258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8F0D4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Potraviny, nápoje, tabak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BEC43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-189,4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3B66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-166,2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A8FF9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-206,9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2208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-224,4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658B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-246,4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672D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-224,3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0A6C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-232,8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BFA9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-267,6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A2158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-297,4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DEB4F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-286,5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91455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-350,5</w:t>
            </w:r>
          </w:p>
        </w:tc>
      </w:tr>
      <w:tr w:rsidR="00BF7FF0" w:rsidRPr="00BF7FF0" w14:paraId="284C2B12" w14:textId="77777777" w:rsidTr="00BF7FF0">
        <w:trPr>
          <w:trHeight w:val="258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38CB1B61" w14:textId="77777777" w:rsidR="00BF7FF0" w:rsidRPr="00BF7FF0" w:rsidRDefault="00BF7FF0" w:rsidP="00BF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Spolu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2E62603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-363,1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324D2FC3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-286,1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62E0A2E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-419,3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3F496559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-422,5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DC1CA9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-473,5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E86ED96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-354,3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9555367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-468,7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96D944D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-593,6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BDF0771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-695,7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62D601A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-780,5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5CCAE6B" w14:textId="77777777" w:rsidR="00BF7FF0" w:rsidRPr="00BF7FF0" w:rsidRDefault="00BF7FF0" w:rsidP="00BF7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F7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-772,8</w:t>
            </w:r>
          </w:p>
        </w:tc>
      </w:tr>
    </w:tbl>
    <w:p w14:paraId="00B61CFF" w14:textId="5E1ACCE8" w:rsidR="00BF7FF0" w:rsidRDefault="00BF7FF0">
      <w:r>
        <w:rPr>
          <w:noProof/>
        </w:rPr>
        <w:drawing>
          <wp:inline distT="0" distB="0" distL="0" distR="0" wp14:anchorId="4533C270" wp14:editId="77657B1E">
            <wp:extent cx="7094220" cy="2644140"/>
            <wp:effectExtent l="0" t="0" r="11430" b="3810"/>
            <wp:docPr id="172796843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6EF490F-8FDA-D3B9-103F-3BCFCDF954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172BD25" w14:textId="77777777" w:rsidR="00BF7FF0" w:rsidRDefault="00BF7FF0"/>
    <w:p w14:paraId="22368D73" w14:textId="77777777" w:rsidR="00BF7FF0" w:rsidRDefault="00BF7FF0"/>
    <w:p w14:paraId="3F4C5588" w14:textId="2B96329A" w:rsidR="00BF7FF0" w:rsidRDefault="00BF7FF0">
      <w:r w:rsidRPr="00BF7FF0">
        <w:t>Poznámka: rok 202</w:t>
      </w:r>
      <w:r>
        <w:t>6</w:t>
      </w:r>
      <w:r w:rsidRPr="00BF7FF0">
        <w:t xml:space="preserve"> - predbežné údaje</w:t>
      </w:r>
    </w:p>
    <w:sectPr w:rsidR="00BF7FF0" w:rsidSect="00BF7FF0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A09F" w14:textId="77777777" w:rsidR="00AC4020" w:rsidRDefault="00AC4020" w:rsidP="00BF7FF0">
      <w:pPr>
        <w:spacing w:after="0" w:line="240" w:lineRule="auto"/>
      </w:pPr>
      <w:r>
        <w:separator/>
      </w:r>
    </w:p>
  </w:endnote>
  <w:endnote w:type="continuationSeparator" w:id="0">
    <w:p w14:paraId="63198F5B" w14:textId="77777777" w:rsidR="00AC4020" w:rsidRDefault="00AC4020" w:rsidP="00BF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4F0F" w14:textId="77777777" w:rsidR="00AC4020" w:rsidRDefault="00AC4020" w:rsidP="00BF7FF0">
      <w:pPr>
        <w:spacing w:after="0" w:line="240" w:lineRule="auto"/>
      </w:pPr>
      <w:r>
        <w:separator/>
      </w:r>
    </w:p>
  </w:footnote>
  <w:footnote w:type="continuationSeparator" w:id="0">
    <w:p w14:paraId="3BF9B6E7" w14:textId="77777777" w:rsidR="00AC4020" w:rsidRDefault="00AC4020" w:rsidP="00BF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34C6" w14:textId="2535BD1C" w:rsidR="00BF7FF0" w:rsidRPr="00BF7FF0" w:rsidRDefault="00BF7FF0" w:rsidP="00BF7FF0">
    <w:pPr>
      <w:pStyle w:val="Hlavika"/>
      <w:jc w:val="center"/>
      <w:rPr>
        <w:b/>
        <w:bCs/>
      </w:rPr>
    </w:pPr>
    <w:r w:rsidRPr="00BF7FF0">
      <w:rPr>
        <w:b/>
        <w:bCs/>
      </w:rPr>
      <w:t>Porovnanie zahraničného obchodu s agropotravinárskymi komoditami</w:t>
    </w:r>
  </w:p>
  <w:p w14:paraId="41C8A8C5" w14:textId="2CEDC6A8" w:rsidR="00BF7FF0" w:rsidRPr="00BF7FF0" w:rsidRDefault="00BF7FF0" w:rsidP="00BF7FF0">
    <w:pPr>
      <w:pStyle w:val="Hlavika"/>
      <w:jc w:val="center"/>
      <w:rPr>
        <w:b/>
        <w:bCs/>
      </w:rPr>
    </w:pPr>
    <w:r w:rsidRPr="00BF7FF0">
      <w:rPr>
        <w:b/>
        <w:bCs/>
      </w:rPr>
      <w:t>v januári až marci 2016-2026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F0"/>
    <w:rsid w:val="00AC4020"/>
    <w:rsid w:val="00BF7FF0"/>
    <w:rsid w:val="00FB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D911"/>
  <w15:chartTrackingRefBased/>
  <w15:docId w15:val="{76139029-9AD9-49E0-8FE4-AF2BCC2F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F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F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7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F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F7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F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F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F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F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F7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F7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F7F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F7F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F7F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F7F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F7F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F7FF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F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F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F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F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F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F7FF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F7FF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F7FF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F7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F7FF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F7FF0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F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7FF0"/>
  </w:style>
  <w:style w:type="paragraph" w:styleId="Pta">
    <w:name w:val="footer"/>
    <w:basedOn w:val="Normlny"/>
    <w:link w:val="PtaChar"/>
    <w:uiPriority w:val="99"/>
    <w:unhideWhenUsed/>
    <w:rsid w:val="00BF7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20.55\sppk\&#218;RAD%20SPPK\ODBOR%20POTRAVIN&#193;RSTVA%20A%20OBCHODU\ZAHRANICNY%20OBCHOD\ZO%202026\3_2026\Porovnanie%20ZO%20v%20janu&#225;ri%20a&#382;%20marci%20v%20rokoch%202016%20a&#382;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20.55\sppk\&#218;RAD%20SPPK\ODBOR%20POTRAVIN&#193;RSTVA%20A%20OBCHODU\ZAHRANICNY%20OBCHOD\ZO%202026\3_2026\Porovnanie%20ZO%20v%20janu&#225;ri%20a&#382;%20marci%20v%20rokoch%202016%20a&#382;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20.55\sppk\&#218;RAD%20SPPK\ODBOR%20POTRAVIN&#193;RSTVA%20A%20OBCHODU\ZAHRANICNY%20OBCHOD\ZO%202026\3_2026\Porovnanie%20ZO%20v%20janu&#225;ri%20a&#382;%20marci%20v%20rokoch%202016%20a&#382;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900" b="1"/>
              <a:t>Dovoz agropotravinárskych výrobkov v januári až marci </a:t>
            </a:r>
            <a:r>
              <a:rPr lang="sk-SK" sz="900" b="1" baseline="0"/>
              <a:t>2016-2026</a:t>
            </a:r>
          </a:p>
          <a:p>
            <a:pPr>
              <a:defRPr sz="900" b="1"/>
            </a:pPr>
            <a:r>
              <a:rPr lang="sk-SK" sz="900" b="1" baseline="0"/>
              <a:t>(v mil EUR)</a:t>
            </a:r>
            <a:endParaRPr lang="sk-SK" sz="9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5"/>
          <c:order val="0"/>
          <c:tx>
            <c:strRef>
              <c:f>Hárok1!$A$3</c:f>
              <c:strCache>
                <c:ptCount val="1"/>
                <c:pt idx="0">
                  <c:v>Živočíšne výrobky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Hárok1!$B$2:$L$2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Hárok1!$B$3:$L$3</c:f>
              <c:numCache>
                <c:formatCode>0.0</c:formatCode>
                <c:ptCount val="11"/>
                <c:pt idx="0">
                  <c:v>205.1</c:v>
                </c:pt>
                <c:pt idx="1">
                  <c:v>236.3</c:v>
                </c:pt>
                <c:pt idx="2">
                  <c:v>274</c:v>
                </c:pt>
                <c:pt idx="3">
                  <c:v>263.2</c:v>
                </c:pt>
                <c:pt idx="4">
                  <c:v>314.7</c:v>
                </c:pt>
                <c:pt idx="5">
                  <c:v>266</c:v>
                </c:pt>
                <c:pt idx="6">
                  <c:v>359.3</c:v>
                </c:pt>
                <c:pt idx="7">
                  <c:v>400.3</c:v>
                </c:pt>
                <c:pt idx="8">
                  <c:v>502.4</c:v>
                </c:pt>
                <c:pt idx="9">
                  <c:v>453.5</c:v>
                </c:pt>
                <c:pt idx="10">
                  <c:v>449.5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DE-4642-BA9F-69A976DAFE96}"/>
            </c:ext>
          </c:extLst>
        </c:ser>
        <c:ser>
          <c:idx val="6"/>
          <c:order val="1"/>
          <c:tx>
            <c:strRef>
              <c:f>Hárok1!$A$4</c:f>
              <c:strCache>
                <c:ptCount val="1"/>
                <c:pt idx="0">
                  <c:v>Rastlinné výrobky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Hárok1!$B$2:$L$2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Hárok1!$B$4:$L$4</c:f>
              <c:numCache>
                <c:formatCode>0.0</c:formatCode>
                <c:ptCount val="11"/>
                <c:pt idx="0">
                  <c:v>292</c:v>
                </c:pt>
                <c:pt idx="1">
                  <c:v>277.39999999999998</c:v>
                </c:pt>
                <c:pt idx="2">
                  <c:v>297</c:v>
                </c:pt>
                <c:pt idx="3">
                  <c:v>318.8</c:v>
                </c:pt>
                <c:pt idx="4">
                  <c:v>332.8</c:v>
                </c:pt>
                <c:pt idx="5">
                  <c:v>322.8</c:v>
                </c:pt>
                <c:pt idx="6">
                  <c:v>400.3</c:v>
                </c:pt>
                <c:pt idx="7">
                  <c:v>491.4</c:v>
                </c:pt>
                <c:pt idx="8">
                  <c:v>452.4</c:v>
                </c:pt>
                <c:pt idx="9">
                  <c:v>499.20000000000005</c:v>
                </c:pt>
                <c:pt idx="10">
                  <c:v>527.29999999999995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DE-4642-BA9F-69A976DAFE96}"/>
            </c:ext>
          </c:extLst>
        </c:ser>
        <c:ser>
          <c:idx val="7"/>
          <c:order val="2"/>
          <c:tx>
            <c:strRef>
              <c:f>Hárok1!$A$5</c:f>
              <c:strCache>
                <c:ptCount val="1"/>
                <c:pt idx="0">
                  <c:v>Tuky, oleje, vosky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Hárok1!$B$2:$L$2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Hárok1!$B$5:$L$5</c:f>
              <c:numCache>
                <c:formatCode>0.0</c:formatCode>
                <c:ptCount val="11"/>
                <c:pt idx="0">
                  <c:v>46.3</c:v>
                </c:pt>
                <c:pt idx="1">
                  <c:v>41.8</c:v>
                </c:pt>
                <c:pt idx="2">
                  <c:v>34.299999999999997</c:v>
                </c:pt>
                <c:pt idx="3">
                  <c:v>35.299999999999997</c:v>
                </c:pt>
                <c:pt idx="4">
                  <c:v>41.9</c:v>
                </c:pt>
                <c:pt idx="5">
                  <c:v>42.2</c:v>
                </c:pt>
                <c:pt idx="6">
                  <c:v>82</c:v>
                </c:pt>
                <c:pt idx="7">
                  <c:v>107.4</c:v>
                </c:pt>
                <c:pt idx="8">
                  <c:v>72.099999999999994</c:v>
                </c:pt>
                <c:pt idx="9">
                  <c:v>124.19999999999999</c:v>
                </c:pt>
                <c:pt idx="10">
                  <c:v>114.4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DE-4642-BA9F-69A976DAFE96}"/>
            </c:ext>
          </c:extLst>
        </c:ser>
        <c:ser>
          <c:idx val="8"/>
          <c:order val="3"/>
          <c:tx>
            <c:strRef>
              <c:f>Hárok1!$A$6</c:f>
              <c:strCache>
                <c:ptCount val="1"/>
                <c:pt idx="0">
                  <c:v>Potraviny, nápoje, tabak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Hárok1!$B$2:$L$2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Hárok1!$B$6:$L$6</c:f>
              <c:numCache>
                <c:formatCode>0.0</c:formatCode>
                <c:ptCount val="11"/>
                <c:pt idx="0">
                  <c:v>459.7</c:v>
                </c:pt>
                <c:pt idx="1">
                  <c:v>460.4</c:v>
                </c:pt>
                <c:pt idx="2">
                  <c:v>502</c:v>
                </c:pt>
                <c:pt idx="3">
                  <c:v>529.29999999999995</c:v>
                </c:pt>
                <c:pt idx="4">
                  <c:v>589.5</c:v>
                </c:pt>
                <c:pt idx="5">
                  <c:v>608.1</c:v>
                </c:pt>
                <c:pt idx="6">
                  <c:v>697.3</c:v>
                </c:pt>
                <c:pt idx="7">
                  <c:v>866.7</c:v>
                </c:pt>
                <c:pt idx="8">
                  <c:v>921.1</c:v>
                </c:pt>
                <c:pt idx="9">
                  <c:v>1018</c:v>
                </c:pt>
                <c:pt idx="10">
                  <c:v>1007.1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8DE-4642-BA9F-69A976DAFE96}"/>
            </c:ext>
          </c:extLst>
        </c:ser>
        <c:ser>
          <c:idx val="9"/>
          <c:order val="4"/>
          <c:tx>
            <c:strRef>
              <c:f>Hárok1!$A$7</c:f>
              <c:strCache>
                <c:ptCount val="1"/>
                <c:pt idx="0">
                  <c:v>Spolu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Hárok1!$B$2:$L$2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Hárok1!$B$7:$L$7</c:f>
              <c:numCache>
                <c:formatCode>0.0</c:formatCode>
                <c:ptCount val="11"/>
                <c:pt idx="0">
                  <c:v>1003.1</c:v>
                </c:pt>
                <c:pt idx="1">
                  <c:v>1015.9</c:v>
                </c:pt>
                <c:pt idx="2">
                  <c:v>1107.3</c:v>
                </c:pt>
                <c:pt idx="3">
                  <c:v>1146.5999999999999</c:v>
                </c:pt>
                <c:pt idx="4">
                  <c:v>1278.8</c:v>
                </c:pt>
                <c:pt idx="5">
                  <c:v>1239.0999999999999</c:v>
                </c:pt>
                <c:pt idx="6">
                  <c:v>1538.9</c:v>
                </c:pt>
                <c:pt idx="7">
                  <c:v>1865.8</c:v>
                </c:pt>
                <c:pt idx="8">
                  <c:v>1948</c:v>
                </c:pt>
                <c:pt idx="9">
                  <c:v>2094.9</c:v>
                </c:pt>
                <c:pt idx="10">
                  <c:v>2098.3000000000002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DE-4642-BA9F-69A976DAFE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7790856"/>
        <c:axId val="467796432"/>
      </c:barChart>
      <c:catAx>
        <c:axId val="467790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67796432"/>
        <c:crosses val="autoZero"/>
        <c:auto val="1"/>
        <c:lblAlgn val="ctr"/>
        <c:lblOffset val="100"/>
        <c:noMultiLvlLbl val="0"/>
      </c:catAx>
      <c:valAx>
        <c:axId val="46779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67790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900" b="1"/>
              <a:t>Vývoz agropotravinárskych výrobkov</a:t>
            </a:r>
            <a:r>
              <a:rPr lang="sk-SK" sz="900" b="1" baseline="0"/>
              <a:t> v januári až marci 2016-2026</a:t>
            </a:r>
          </a:p>
          <a:p>
            <a:pPr>
              <a:defRPr sz="900" b="1"/>
            </a:pPr>
            <a:r>
              <a:rPr lang="sk-SK" sz="900" b="1" baseline="0"/>
              <a:t>(v mil. EUR)</a:t>
            </a:r>
            <a:endParaRPr lang="sk-SK" sz="900" b="1"/>
          </a:p>
        </c:rich>
      </c:tx>
      <c:layout>
        <c:manualLayout>
          <c:xMode val="edge"/>
          <c:yMode val="edge"/>
          <c:x val="0.2432022727862666"/>
          <c:y val="2.4860161591050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Hárok1!$A$28</c:f>
              <c:strCache>
                <c:ptCount val="1"/>
                <c:pt idx="0">
                  <c:v>Živočíšne výrobky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Hárok1!$B$27:$L$27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Hárok1!$B$28:$L$28</c:f>
              <c:numCache>
                <c:formatCode>0.0</c:formatCode>
                <c:ptCount val="11"/>
                <c:pt idx="0">
                  <c:v>130.5</c:v>
                </c:pt>
                <c:pt idx="1">
                  <c:v>133.80000000000001</c:v>
                </c:pt>
                <c:pt idx="2">
                  <c:v>164.3</c:v>
                </c:pt>
                <c:pt idx="3">
                  <c:v>134.19999999999999</c:v>
                </c:pt>
                <c:pt idx="4">
                  <c:v>143.1</c:v>
                </c:pt>
                <c:pt idx="5">
                  <c:v>126.9</c:v>
                </c:pt>
                <c:pt idx="6">
                  <c:v>177.2</c:v>
                </c:pt>
                <c:pt idx="7">
                  <c:v>203.8</c:v>
                </c:pt>
                <c:pt idx="8">
                  <c:v>205.2</c:v>
                </c:pt>
                <c:pt idx="9">
                  <c:v>217</c:v>
                </c:pt>
                <c:pt idx="10">
                  <c:v>255.3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B5-48CB-A6FE-480C9A20C54C}"/>
            </c:ext>
          </c:extLst>
        </c:ser>
        <c:ser>
          <c:idx val="1"/>
          <c:order val="1"/>
          <c:tx>
            <c:strRef>
              <c:f>Hárok1!$A$29</c:f>
              <c:strCache>
                <c:ptCount val="1"/>
                <c:pt idx="0">
                  <c:v>Rastlinné výrobky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Hárok1!$B$27:$L$27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Hárok1!$B$29:$L$29</c:f>
              <c:numCache>
                <c:formatCode>0.0</c:formatCode>
                <c:ptCount val="11"/>
                <c:pt idx="0">
                  <c:v>202.9</c:v>
                </c:pt>
                <c:pt idx="1">
                  <c:v>281.60000000000002</c:v>
                </c:pt>
                <c:pt idx="2">
                  <c:v>215</c:v>
                </c:pt>
                <c:pt idx="3">
                  <c:v>272</c:v>
                </c:pt>
                <c:pt idx="4">
                  <c:v>279</c:v>
                </c:pt>
                <c:pt idx="5">
                  <c:v>335.6</c:v>
                </c:pt>
                <c:pt idx="6">
                  <c:v>374.5</c:v>
                </c:pt>
                <c:pt idx="7">
                  <c:v>430.7</c:v>
                </c:pt>
                <c:pt idx="8">
                  <c:v>388.7</c:v>
                </c:pt>
                <c:pt idx="9">
                  <c:v>318.2</c:v>
                </c:pt>
                <c:pt idx="10">
                  <c:v>369.4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B5-48CB-A6FE-480C9A20C54C}"/>
            </c:ext>
          </c:extLst>
        </c:ser>
        <c:ser>
          <c:idx val="2"/>
          <c:order val="2"/>
          <c:tx>
            <c:strRef>
              <c:f>Hárok1!$A$30</c:f>
              <c:strCache>
                <c:ptCount val="1"/>
                <c:pt idx="0">
                  <c:v>Tuky, oleje, vosky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Hárok1!$B$27:$L$27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Hárok1!$B$30:$L$30</c:f>
              <c:numCache>
                <c:formatCode>0.0</c:formatCode>
                <c:ptCount val="11"/>
                <c:pt idx="0">
                  <c:v>36.299999999999997</c:v>
                </c:pt>
                <c:pt idx="1">
                  <c:v>20.2</c:v>
                </c:pt>
                <c:pt idx="2">
                  <c:v>13.6</c:v>
                </c:pt>
                <c:pt idx="3">
                  <c:v>13</c:v>
                </c:pt>
                <c:pt idx="4">
                  <c:v>40.200000000000003</c:v>
                </c:pt>
                <c:pt idx="5">
                  <c:v>38.5</c:v>
                </c:pt>
                <c:pt idx="6">
                  <c:v>54</c:v>
                </c:pt>
                <c:pt idx="7">
                  <c:v>38.6</c:v>
                </c:pt>
                <c:pt idx="8">
                  <c:v>34.700000000000003</c:v>
                </c:pt>
                <c:pt idx="9">
                  <c:v>47.7</c:v>
                </c:pt>
                <c:pt idx="10">
                  <c:v>44.2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B5-48CB-A6FE-480C9A20C54C}"/>
            </c:ext>
          </c:extLst>
        </c:ser>
        <c:ser>
          <c:idx val="3"/>
          <c:order val="3"/>
          <c:tx>
            <c:strRef>
              <c:f>Hárok1!$A$31</c:f>
              <c:strCache>
                <c:ptCount val="1"/>
                <c:pt idx="0">
                  <c:v>Potraviny, nápoje, tabak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Hárok1!$B$27:$L$27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Hárok1!$B$31:$L$31</c:f>
              <c:numCache>
                <c:formatCode>0.0</c:formatCode>
                <c:ptCount val="11"/>
                <c:pt idx="0">
                  <c:v>270.3</c:v>
                </c:pt>
                <c:pt idx="1">
                  <c:v>294.2</c:v>
                </c:pt>
                <c:pt idx="2">
                  <c:v>295.10000000000002</c:v>
                </c:pt>
                <c:pt idx="3">
                  <c:v>304.89999999999998</c:v>
                </c:pt>
                <c:pt idx="4">
                  <c:v>343</c:v>
                </c:pt>
                <c:pt idx="5">
                  <c:v>383.8</c:v>
                </c:pt>
                <c:pt idx="6">
                  <c:v>464.5</c:v>
                </c:pt>
                <c:pt idx="7">
                  <c:v>599.1</c:v>
                </c:pt>
                <c:pt idx="8">
                  <c:v>623.70000000000005</c:v>
                </c:pt>
                <c:pt idx="9">
                  <c:v>731.5</c:v>
                </c:pt>
                <c:pt idx="10">
                  <c:v>656.6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B5-48CB-A6FE-480C9A20C54C}"/>
            </c:ext>
          </c:extLst>
        </c:ser>
        <c:ser>
          <c:idx val="4"/>
          <c:order val="4"/>
          <c:tx>
            <c:strRef>
              <c:f>Hárok1!$A$32</c:f>
              <c:strCache>
                <c:ptCount val="1"/>
                <c:pt idx="0">
                  <c:v>Spolu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Hárok1!$B$27:$L$27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Hárok1!$B$32:$L$32</c:f>
              <c:numCache>
                <c:formatCode>0.0</c:formatCode>
                <c:ptCount val="11"/>
                <c:pt idx="0">
                  <c:v>640</c:v>
                </c:pt>
                <c:pt idx="1">
                  <c:v>729.8</c:v>
                </c:pt>
                <c:pt idx="2">
                  <c:v>688</c:v>
                </c:pt>
                <c:pt idx="3">
                  <c:v>724.1</c:v>
                </c:pt>
                <c:pt idx="4">
                  <c:v>805.3</c:v>
                </c:pt>
                <c:pt idx="5">
                  <c:v>884.8</c:v>
                </c:pt>
                <c:pt idx="6">
                  <c:v>1070.2</c:v>
                </c:pt>
                <c:pt idx="7">
                  <c:v>1272.2</c:v>
                </c:pt>
                <c:pt idx="8">
                  <c:v>1252.3</c:v>
                </c:pt>
                <c:pt idx="9">
                  <c:v>1314.4</c:v>
                </c:pt>
                <c:pt idx="10">
                  <c:v>1325.5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B5-48CB-A6FE-480C9A20C5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8252152"/>
        <c:axId val="478247232"/>
      </c:barChart>
      <c:catAx>
        <c:axId val="478252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78247232"/>
        <c:crosses val="autoZero"/>
        <c:auto val="1"/>
        <c:lblAlgn val="ctr"/>
        <c:lblOffset val="100"/>
        <c:noMultiLvlLbl val="0"/>
      </c:catAx>
      <c:valAx>
        <c:axId val="47824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78252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9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Saldo zahraničného obchodu s agropotravinárskymi výrobkami v januári až marci 2016-2026 </a:t>
            </a:r>
          </a:p>
          <a:p>
            <a:pPr>
              <a:defRPr/>
            </a:pPr>
            <a:r>
              <a:rPr lang="sk-SK" sz="9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(v mil. EUR)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Hárok1!$A$53</c:f>
              <c:strCache>
                <c:ptCount val="1"/>
                <c:pt idx="0">
                  <c:v>Živočíšne výrobky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Hárok1!$B$52:$L$52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Hárok1!$B$53:$L$53</c:f>
              <c:numCache>
                <c:formatCode>0.0</c:formatCode>
                <c:ptCount val="11"/>
                <c:pt idx="0">
                  <c:v>-74.599999999999994</c:v>
                </c:pt>
                <c:pt idx="1">
                  <c:v>-102.5</c:v>
                </c:pt>
                <c:pt idx="2">
                  <c:v>-109.7</c:v>
                </c:pt>
                <c:pt idx="3">
                  <c:v>-129</c:v>
                </c:pt>
                <c:pt idx="4">
                  <c:v>-171.6</c:v>
                </c:pt>
                <c:pt idx="5">
                  <c:v>-139.1</c:v>
                </c:pt>
                <c:pt idx="6">
                  <c:v>-182.1</c:v>
                </c:pt>
                <c:pt idx="7">
                  <c:v>-196.5</c:v>
                </c:pt>
                <c:pt idx="8">
                  <c:v>-297.2</c:v>
                </c:pt>
                <c:pt idx="9">
                  <c:v>-236.5</c:v>
                </c:pt>
                <c:pt idx="10">
                  <c:v>-194.2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EF-470F-9669-DD201C4ED163}"/>
            </c:ext>
          </c:extLst>
        </c:ser>
        <c:ser>
          <c:idx val="1"/>
          <c:order val="1"/>
          <c:tx>
            <c:strRef>
              <c:f>Hárok1!$A$54</c:f>
              <c:strCache>
                <c:ptCount val="1"/>
                <c:pt idx="0">
                  <c:v>Rastlinné výrobky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Hárok1!$B$52:$L$52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Hárok1!$B$54:$L$54</c:f>
              <c:numCache>
                <c:formatCode>0.0</c:formatCode>
                <c:ptCount val="11"/>
                <c:pt idx="0">
                  <c:v>-89.1</c:v>
                </c:pt>
                <c:pt idx="1">
                  <c:v>4.2</c:v>
                </c:pt>
                <c:pt idx="2">
                  <c:v>-82</c:v>
                </c:pt>
                <c:pt idx="3">
                  <c:v>-46.8</c:v>
                </c:pt>
                <c:pt idx="4">
                  <c:v>-53.8</c:v>
                </c:pt>
                <c:pt idx="5">
                  <c:v>12.8</c:v>
                </c:pt>
                <c:pt idx="6">
                  <c:v>-25.8</c:v>
                </c:pt>
                <c:pt idx="7">
                  <c:v>-60.7</c:v>
                </c:pt>
                <c:pt idx="8">
                  <c:v>-63.7</c:v>
                </c:pt>
                <c:pt idx="9">
                  <c:v>-181.00000000000006</c:v>
                </c:pt>
                <c:pt idx="10">
                  <c:v>-157.89999999999998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EF-470F-9669-DD201C4ED163}"/>
            </c:ext>
          </c:extLst>
        </c:ser>
        <c:ser>
          <c:idx val="2"/>
          <c:order val="2"/>
          <c:tx>
            <c:strRef>
              <c:f>Hárok1!$A$55</c:f>
              <c:strCache>
                <c:ptCount val="1"/>
                <c:pt idx="0">
                  <c:v>Tuky, oleje, vosky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Hárok1!$B$52:$L$52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Hárok1!$B$55:$L$55</c:f>
              <c:numCache>
                <c:formatCode>0.0</c:formatCode>
                <c:ptCount val="11"/>
                <c:pt idx="0">
                  <c:v>-10</c:v>
                </c:pt>
                <c:pt idx="1">
                  <c:v>-21.6</c:v>
                </c:pt>
                <c:pt idx="2">
                  <c:v>-20.7</c:v>
                </c:pt>
                <c:pt idx="3">
                  <c:v>-22.3</c:v>
                </c:pt>
                <c:pt idx="4">
                  <c:v>-1.7</c:v>
                </c:pt>
                <c:pt idx="5">
                  <c:v>-3.7</c:v>
                </c:pt>
                <c:pt idx="6">
                  <c:v>-28</c:v>
                </c:pt>
                <c:pt idx="7">
                  <c:v>-68.8</c:v>
                </c:pt>
                <c:pt idx="8">
                  <c:v>-37.4</c:v>
                </c:pt>
                <c:pt idx="9">
                  <c:v>-76.499999999999986</c:v>
                </c:pt>
                <c:pt idx="10">
                  <c:v>-70.2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EF-470F-9669-DD201C4ED163}"/>
            </c:ext>
          </c:extLst>
        </c:ser>
        <c:ser>
          <c:idx val="3"/>
          <c:order val="3"/>
          <c:tx>
            <c:strRef>
              <c:f>Hárok1!$A$56</c:f>
              <c:strCache>
                <c:ptCount val="1"/>
                <c:pt idx="0">
                  <c:v>Potraviny, nápoje, tabak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Hárok1!$B$52:$L$52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Hárok1!$B$56:$L$56</c:f>
              <c:numCache>
                <c:formatCode>0.0</c:formatCode>
                <c:ptCount val="11"/>
                <c:pt idx="0">
                  <c:v>-189.4</c:v>
                </c:pt>
                <c:pt idx="1">
                  <c:v>-166.2</c:v>
                </c:pt>
                <c:pt idx="2">
                  <c:v>-206.9</c:v>
                </c:pt>
                <c:pt idx="3">
                  <c:v>-224.4</c:v>
                </c:pt>
                <c:pt idx="4">
                  <c:v>-246.4</c:v>
                </c:pt>
                <c:pt idx="5">
                  <c:v>-224.3</c:v>
                </c:pt>
                <c:pt idx="6">
                  <c:v>-232.8</c:v>
                </c:pt>
                <c:pt idx="7">
                  <c:v>-267.60000000000002</c:v>
                </c:pt>
                <c:pt idx="8">
                  <c:v>-297.39999999999998</c:v>
                </c:pt>
                <c:pt idx="9">
                  <c:v>-286.5</c:v>
                </c:pt>
                <c:pt idx="10">
                  <c:v>-350.5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BEF-470F-9669-DD201C4ED163}"/>
            </c:ext>
          </c:extLst>
        </c:ser>
        <c:ser>
          <c:idx val="4"/>
          <c:order val="4"/>
          <c:tx>
            <c:strRef>
              <c:f>Hárok1!$A$57</c:f>
              <c:strCache>
                <c:ptCount val="1"/>
                <c:pt idx="0">
                  <c:v>Spolu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Hárok1!$B$52:$L$52</c:f>
              <c:strCache>
                <c:ptCount val="11"/>
                <c:pt idx="0">
                  <c:v>I. až III. 2016</c:v>
                </c:pt>
                <c:pt idx="1">
                  <c:v>I. až III. 2017</c:v>
                </c:pt>
                <c:pt idx="2">
                  <c:v>I. až III. 2018</c:v>
                </c:pt>
                <c:pt idx="3">
                  <c:v>I. až III. 2019</c:v>
                </c:pt>
                <c:pt idx="4">
                  <c:v>I. až III. 2020</c:v>
                </c:pt>
                <c:pt idx="5">
                  <c:v>I. až III. 2021</c:v>
                </c:pt>
                <c:pt idx="6">
                  <c:v>I. až III. 2022</c:v>
                </c:pt>
                <c:pt idx="7">
                  <c:v>I. až III. 2023</c:v>
                </c:pt>
                <c:pt idx="8">
                  <c:v>I. až III. 2024</c:v>
                </c:pt>
                <c:pt idx="9">
                  <c:v>I. až III. 2025</c:v>
                </c:pt>
                <c:pt idx="10">
                  <c:v>I. až III. 2026</c:v>
                </c:pt>
              </c:strCache>
            </c:strRef>
          </c:cat>
          <c:val>
            <c:numRef>
              <c:f>Hárok1!$B$57:$L$57</c:f>
              <c:numCache>
                <c:formatCode>0.0</c:formatCode>
                <c:ptCount val="11"/>
                <c:pt idx="0">
                  <c:v>-363.1</c:v>
                </c:pt>
                <c:pt idx="1">
                  <c:v>-286.10000000000002</c:v>
                </c:pt>
                <c:pt idx="2">
                  <c:v>-419.3</c:v>
                </c:pt>
                <c:pt idx="3">
                  <c:v>-422.5</c:v>
                </c:pt>
                <c:pt idx="4">
                  <c:v>-473.5</c:v>
                </c:pt>
                <c:pt idx="5">
                  <c:v>-354.3</c:v>
                </c:pt>
                <c:pt idx="6">
                  <c:v>-468.7</c:v>
                </c:pt>
                <c:pt idx="7">
                  <c:v>-593.6</c:v>
                </c:pt>
                <c:pt idx="8">
                  <c:v>-695.7</c:v>
                </c:pt>
                <c:pt idx="9">
                  <c:v>-780.5</c:v>
                </c:pt>
                <c:pt idx="10">
                  <c:v>-772.80000000000018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BEF-470F-9669-DD201C4ED1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7163104"/>
        <c:axId val="467153504"/>
      </c:barChart>
      <c:catAx>
        <c:axId val="46716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67153504"/>
        <c:crosses val="autoZero"/>
        <c:auto val="1"/>
        <c:lblAlgn val="ctr"/>
        <c:lblOffset val="100"/>
        <c:noMultiLvlLbl val="0"/>
      </c:catAx>
      <c:valAx>
        <c:axId val="46715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6716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Vigašová</dc:creator>
  <cp:keywords/>
  <dc:description/>
  <cp:lastModifiedBy>Veronika Vigašová</cp:lastModifiedBy>
  <cp:revision>1</cp:revision>
  <dcterms:created xsi:type="dcterms:W3CDTF">2026-06-22T08:13:00Z</dcterms:created>
  <dcterms:modified xsi:type="dcterms:W3CDTF">2026-06-22T08:20:00Z</dcterms:modified>
</cp:coreProperties>
</file>