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0"/>
        <w:gridCol w:w="1052"/>
        <w:gridCol w:w="1068"/>
        <w:gridCol w:w="1068"/>
        <w:gridCol w:w="1068"/>
        <w:gridCol w:w="1068"/>
        <w:gridCol w:w="1068"/>
        <w:gridCol w:w="1068"/>
        <w:gridCol w:w="1085"/>
        <w:gridCol w:w="1085"/>
        <w:gridCol w:w="1085"/>
        <w:gridCol w:w="1085"/>
      </w:tblGrid>
      <w:tr w:rsidR="00F81CCB" w:rsidRPr="00F81CCB" w14:paraId="70180807" w14:textId="77777777" w:rsidTr="00F81CCB">
        <w:trPr>
          <w:trHeight w:val="263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D9223" w14:textId="77777777" w:rsidR="00F81CCB" w:rsidRPr="00F81CCB" w:rsidRDefault="00F81CCB" w:rsidP="00F81C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DOVOZ v mil. EUR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2CBE" w14:textId="77777777" w:rsidR="00F81CCB" w:rsidRPr="00F81CCB" w:rsidRDefault="00F81CCB" w:rsidP="00F81C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D61BF" w14:textId="77777777" w:rsidR="00F81CCB" w:rsidRPr="00F81CCB" w:rsidRDefault="00F81CCB" w:rsidP="00F81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BA55E" w14:textId="77777777" w:rsidR="00F81CCB" w:rsidRPr="00F81CCB" w:rsidRDefault="00F81CCB" w:rsidP="00F81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3DDD7" w14:textId="77777777" w:rsidR="00F81CCB" w:rsidRPr="00F81CCB" w:rsidRDefault="00F81CCB" w:rsidP="00F81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26104" w14:textId="77777777" w:rsidR="00F81CCB" w:rsidRPr="00F81CCB" w:rsidRDefault="00F81CCB" w:rsidP="00F81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9D1C" w14:textId="77777777" w:rsidR="00F81CCB" w:rsidRPr="00F81CCB" w:rsidRDefault="00F81CCB" w:rsidP="00F81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2007" w14:textId="77777777" w:rsidR="00F81CCB" w:rsidRPr="00F81CCB" w:rsidRDefault="00F81CCB" w:rsidP="00F81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72C1" w14:textId="77777777" w:rsidR="00F81CCB" w:rsidRPr="00F81CCB" w:rsidRDefault="00F81CCB" w:rsidP="00F81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1129" w14:textId="77777777" w:rsidR="00F81CCB" w:rsidRPr="00F81CCB" w:rsidRDefault="00F81CCB" w:rsidP="00F81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B0A77" w14:textId="77777777" w:rsidR="00F81CCB" w:rsidRPr="00F81CCB" w:rsidRDefault="00F81CCB" w:rsidP="00F81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D5664" w14:textId="77777777" w:rsidR="00F81CCB" w:rsidRPr="00F81CCB" w:rsidRDefault="00F81CCB" w:rsidP="00F81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81CCB" w:rsidRPr="00F81CCB" w14:paraId="5B90A69D" w14:textId="77777777" w:rsidTr="00F81CCB">
        <w:trPr>
          <w:trHeight w:val="263"/>
        </w:trPr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64F8DC3E" w14:textId="77777777" w:rsidR="00F81CCB" w:rsidRPr="00F81CCB" w:rsidRDefault="00F81CCB" w:rsidP="00F81C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Odvetvie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3A261F59" w14:textId="77777777" w:rsidR="00F81CCB" w:rsidRPr="00F81CCB" w:rsidRDefault="00F81CCB" w:rsidP="00F81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2016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638D7797" w14:textId="77777777" w:rsidR="00F81CCB" w:rsidRPr="00F81CCB" w:rsidRDefault="00F81CCB" w:rsidP="00F81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2017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4531C907" w14:textId="77777777" w:rsidR="00F81CCB" w:rsidRPr="00F81CCB" w:rsidRDefault="00F81CCB" w:rsidP="00F81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2018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21F9DDF9" w14:textId="77777777" w:rsidR="00F81CCB" w:rsidRPr="00F81CCB" w:rsidRDefault="00F81CCB" w:rsidP="00F81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2019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09C5576D" w14:textId="77777777" w:rsidR="00F81CCB" w:rsidRPr="00F81CCB" w:rsidRDefault="00F81CCB" w:rsidP="00F81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2020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72B7AC63" w14:textId="77777777" w:rsidR="00F81CCB" w:rsidRPr="00F81CCB" w:rsidRDefault="00F81CCB" w:rsidP="00F81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2021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0B5D5039" w14:textId="77777777" w:rsidR="00F81CCB" w:rsidRPr="00F81CCB" w:rsidRDefault="00F81CCB" w:rsidP="00F81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2022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15DB50BC" w14:textId="77777777" w:rsidR="00F81CCB" w:rsidRPr="00F81CCB" w:rsidRDefault="00F81CCB" w:rsidP="00F81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2023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19B4EE5A" w14:textId="77777777" w:rsidR="00F81CCB" w:rsidRPr="00F81CCB" w:rsidRDefault="00F81CCB" w:rsidP="00F81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2024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4D28B30F" w14:textId="77777777" w:rsidR="00F81CCB" w:rsidRPr="00F81CCB" w:rsidRDefault="00F81CCB" w:rsidP="00F81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2025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2D6A216A" w14:textId="77777777" w:rsidR="00F81CCB" w:rsidRPr="00F81CCB" w:rsidRDefault="00F81CCB" w:rsidP="00F81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2026</w:t>
            </w:r>
          </w:p>
        </w:tc>
      </w:tr>
      <w:tr w:rsidR="00F81CCB" w:rsidRPr="00F81CCB" w14:paraId="4EC86A01" w14:textId="77777777" w:rsidTr="00F81CCB">
        <w:trPr>
          <w:trHeight w:val="263"/>
        </w:trPr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4BD56" w14:textId="77777777" w:rsidR="00F81CCB" w:rsidRPr="00F81CCB" w:rsidRDefault="00F81CCB" w:rsidP="00F81C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Živočíšne výrobky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F06016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269,8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A30FA5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311,5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9C1D1C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357,3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1591CA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360,8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86CB53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399,3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2F9EF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350,2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AB03F1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502,3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C2FE48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526,4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1DFCE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639,6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13BEE6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602,0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8F47F5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591,1</w:t>
            </w:r>
          </w:p>
        </w:tc>
      </w:tr>
      <w:tr w:rsidR="00F81CCB" w:rsidRPr="00F81CCB" w14:paraId="4B55DD5E" w14:textId="77777777" w:rsidTr="00F81CCB">
        <w:trPr>
          <w:trHeight w:val="263"/>
        </w:trPr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9786B2" w14:textId="77777777" w:rsidR="00F81CCB" w:rsidRPr="00F81CCB" w:rsidRDefault="00F81CCB" w:rsidP="00F81C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Rastlinné výrobky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174ECE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392,1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6FD4B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363,1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9FF287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388,7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27D513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424,8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5FDEF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434,3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8BB755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436,6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04F4DF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530,6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2E34E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630,2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470E70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606,8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01B620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661,3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B4E8DB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698,7</w:t>
            </w:r>
          </w:p>
        </w:tc>
      </w:tr>
      <w:tr w:rsidR="00F81CCB" w:rsidRPr="00F81CCB" w14:paraId="0E7A1E61" w14:textId="77777777" w:rsidTr="00F81CCB">
        <w:trPr>
          <w:trHeight w:val="263"/>
        </w:trPr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1A47C0" w14:textId="77777777" w:rsidR="00F81CCB" w:rsidRPr="00F81CCB" w:rsidRDefault="00F81CCB" w:rsidP="00F81C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Tuky, oleje, vosky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3F5A1A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64,1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7090FB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54,9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76B87C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45,0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905BF0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47,7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23FFCC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54,0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190761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57,7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3CFF03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112,4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0FE9B7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132,7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85B9DE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100,1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384FD1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160,1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5ADA6B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117,3</w:t>
            </w:r>
          </w:p>
        </w:tc>
      </w:tr>
      <w:tr w:rsidR="00F81CCB" w:rsidRPr="00F81CCB" w14:paraId="47E48B8F" w14:textId="77777777" w:rsidTr="00F81CCB">
        <w:trPr>
          <w:trHeight w:val="263"/>
        </w:trPr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C2B1A" w14:textId="77777777" w:rsidR="00F81CCB" w:rsidRPr="00F81CCB" w:rsidRDefault="00F81CCB" w:rsidP="00F81C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Potraviny, nápoje, tabak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3E89AA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613,2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343D76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606,5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26B7A0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670,4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5F5436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710,9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2E625A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753,1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7FDC28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815,4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2DAC9F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937,2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440B2E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1136,5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6DBF1F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1247,5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49F92D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1346,5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E9295B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1356,5</w:t>
            </w:r>
          </w:p>
        </w:tc>
      </w:tr>
      <w:tr w:rsidR="00F81CCB" w:rsidRPr="00F81CCB" w14:paraId="3DC500C3" w14:textId="77777777" w:rsidTr="00F81CCB">
        <w:trPr>
          <w:trHeight w:val="263"/>
        </w:trPr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25CABE66" w14:textId="77777777" w:rsidR="00F81CCB" w:rsidRPr="00F81CCB" w:rsidRDefault="00F81CCB" w:rsidP="00F81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Spolu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6DF71389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1339,2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3AB56FB9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1336,0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5D8BD6E9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1461,4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58C08627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1544,2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6CE77A61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bookmarkStart w:id="0" w:name="RANGE!F7"/>
            <w:r w:rsidRPr="00F81C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1640,7</w:t>
            </w:r>
            <w:bookmarkEnd w:id="0"/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074ED0E1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1659,9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75B0021B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2082,5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7C4DB2C0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2425,8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4BCF7426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2594,0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70A7AE24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2769,9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6BD0A133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2763,6</w:t>
            </w:r>
          </w:p>
        </w:tc>
      </w:tr>
    </w:tbl>
    <w:p w14:paraId="10224D61" w14:textId="77777777" w:rsidR="00F81CCB" w:rsidRDefault="00F81CCB"/>
    <w:p w14:paraId="72F29A2A" w14:textId="77777777" w:rsidR="00F81CCB" w:rsidRDefault="00F81CCB"/>
    <w:p w14:paraId="4ED22133" w14:textId="3EF1F37F" w:rsidR="00F81CCB" w:rsidRDefault="00F81CCB">
      <w:r>
        <w:rPr>
          <w:noProof/>
        </w:rPr>
        <w:drawing>
          <wp:inline distT="0" distB="0" distL="0" distR="0" wp14:anchorId="7B3E5152" wp14:editId="476748D9">
            <wp:extent cx="7324725" cy="2889885"/>
            <wp:effectExtent l="0" t="0" r="9525" b="5715"/>
            <wp:docPr id="2131958864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CEFCAAD4-DF48-2BD4-5AB3-82A374D4A5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31715CB" w14:textId="77777777" w:rsidR="00F81CCB" w:rsidRDefault="00F81CCB">
      <w:r>
        <w:br w:type="page"/>
      </w:r>
    </w:p>
    <w:tbl>
      <w:tblPr>
        <w:tblW w:w="13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4"/>
        <w:gridCol w:w="1048"/>
        <w:gridCol w:w="1065"/>
        <w:gridCol w:w="1065"/>
        <w:gridCol w:w="1065"/>
        <w:gridCol w:w="1065"/>
        <w:gridCol w:w="1065"/>
        <w:gridCol w:w="1065"/>
        <w:gridCol w:w="1082"/>
        <w:gridCol w:w="1082"/>
        <w:gridCol w:w="1082"/>
        <w:gridCol w:w="1082"/>
      </w:tblGrid>
      <w:tr w:rsidR="00F81CCB" w:rsidRPr="00F81CCB" w14:paraId="093F504F" w14:textId="77777777" w:rsidTr="00F81CCB">
        <w:trPr>
          <w:trHeight w:val="288"/>
        </w:trPr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0A729" w14:textId="77777777" w:rsidR="00F81CCB" w:rsidRPr="00F81CCB" w:rsidRDefault="00F81CCB" w:rsidP="00F81C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VÝVOZ v mil. EUR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C3A9" w14:textId="77777777" w:rsidR="00F81CCB" w:rsidRPr="00F81CCB" w:rsidRDefault="00F81CCB" w:rsidP="00F81C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F64C" w14:textId="77777777" w:rsidR="00F81CCB" w:rsidRPr="00F81CCB" w:rsidRDefault="00F81CCB" w:rsidP="00F81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C9B86" w14:textId="77777777" w:rsidR="00F81CCB" w:rsidRPr="00F81CCB" w:rsidRDefault="00F81CCB" w:rsidP="00F81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3C52" w14:textId="77777777" w:rsidR="00F81CCB" w:rsidRPr="00F81CCB" w:rsidRDefault="00F81CCB" w:rsidP="00F81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1EB0F" w14:textId="77777777" w:rsidR="00F81CCB" w:rsidRPr="00F81CCB" w:rsidRDefault="00F81CCB" w:rsidP="00F81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36D0C" w14:textId="77777777" w:rsidR="00F81CCB" w:rsidRPr="00F81CCB" w:rsidRDefault="00F81CCB" w:rsidP="00F81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53F4" w14:textId="77777777" w:rsidR="00F81CCB" w:rsidRPr="00F81CCB" w:rsidRDefault="00F81CCB" w:rsidP="00F81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09560" w14:textId="77777777" w:rsidR="00F81CCB" w:rsidRPr="00F81CCB" w:rsidRDefault="00F81CCB" w:rsidP="00F81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F66A1" w14:textId="77777777" w:rsidR="00F81CCB" w:rsidRPr="00F81CCB" w:rsidRDefault="00F81CCB" w:rsidP="00F81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17C4" w14:textId="77777777" w:rsidR="00F81CCB" w:rsidRPr="00F81CCB" w:rsidRDefault="00F81CCB" w:rsidP="00F81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758C" w14:textId="77777777" w:rsidR="00F81CCB" w:rsidRPr="00F81CCB" w:rsidRDefault="00F81CCB" w:rsidP="00F81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81CCB" w:rsidRPr="00F81CCB" w14:paraId="31183FB3" w14:textId="77777777" w:rsidTr="00F81CCB">
        <w:trPr>
          <w:trHeight w:val="288"/>
        </w:trPr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5CF88F02" w14:textId="77777777" w:rsidR="00F81CCB" w:rsidRPr="00F81CCB" w:rsidRDefault="00F81CCB" w:rsidP="00F81C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Odvetvie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4693354A" w14:textId="77777777" w:rsidR="00F81CCB" w:rsidRPr="00F81CCB" w:rsidRDefault="00F81CCB" w:rsidP="00F81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2016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18703180" w14:textId="77777777" w:rsidR="00F81CCB" w:rsidRPr="00F81CCB" w:rsidRDefault="00F81CCB" w:rsidP="00F81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2017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2327B845" w14:textId="77777777" w:rsidR="00F81CCB" w:rsidRPr="00F81CCB" w:rsidRDefault="00F81CCB" w:rsidP="00F81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2018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45D4EE75" w14:textId="77777777" w:rsidR="00F81CCB" w:rsidRPr="00F81CCB" w:rsidRDefault="00F81CCB" w:rsidP="00F81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2019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14CCCB9C" w14:textId="77777777" w:rsidR="00F81CCB" w:rsidRPr="00F81CCB" w:rsidRDefault="00F81CCB" w:rsidP="00F81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2020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0FABCFA1" w14:textId="77777777" w:rsidR="00F81CCB" w:rsidRPr="00F81CCB" w:rsidRDefault="00F81CCB" w:rsidP="00F81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2021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4D49108E" w14:textId="77777777" w:rsidR="00F81CCB" w:rsidRPr="00F81CCB" w:rsidRDefault="00F81CCB" w:rsidP="00F81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2022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070CF2DA" w14:textId="77777777" w:rsidR="00F81CCB" w:rsidRPr="00F81CCB" w:rsidRDefault="00F81CCB" w:rsidP="00F81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2023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16CD51D1" w14:textId="77777777" w:rsidR="00F81CCB" w:rsidRPr="00F81CCB" w:rsidRDefault="00F81CCB" w:rsidP="00F81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2024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5DC87061" w14:textId="77777777" w:rsidR="00F81CCB" w:rsidRPr="00F81CCB" w:rsidRDefault="00F81CCB" w:rsidP="00F81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2025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6D8C0E94" w14:textId="77777777" w:rsidR="00F81CCB" w:rsidRPr="00F81CCB" w:rsidRDefault="00F81CCB" w:rsidP="00F81C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2026</w:t>
            </w:r>
          </w:p>
        </w:tc>
      </w:tr>
      <w:tr w:rsidR="00F81CCB" w:rsidRPr="00F81CCB" w14:paraId="624CF0BE" w14:textId="77777777" w:rsidTr="00F81CCB">
        <w:trPr>
          <w:trHeight w:val="288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07A4A" w14:textId="77777777" w:rsidR="00F81CCB" w:rsidRPr="00F81CCB" w:rsidRDefault="00F81CCB" w:rsidP="00F81C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Živočíšne výrobky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02E91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180,2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B747AC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185,7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5408A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212,6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C9CAAB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188,3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70E879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184,6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934871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173,7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4EF2C4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244,2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40944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277,8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A45B28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280,3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9E520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286,2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E7BD10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340,8</w:t>
            </w:r>
          </w:p>
        </w:tc>
      </w:tr>
      <w:tr w:rsidR="00F81CCB" w:rsidRPr="00F81CCB" w14:paraId="13744C62" w14:textId="77777777" w:rsidTr="00F81CCB">
        <w:trPr>
          <w:trHeight w:val="288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BC9273" w14:textId="77777777" w:rsidR="00F81CCB" w:rsidRPr="00F81CCB" w:rsidRDefault="00F81CCB" w:rsidP="00F81C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Rastlinné výrobky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4B0F0F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279,4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8D7EA7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367,7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409C18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281,9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B10CDF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355,0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47C424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360,3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3C801A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421,5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0B5C48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494,2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01325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554,0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4B35E0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504,6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5EBE7F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417,2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EEC1A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485,9</w:t>
            </w:r>
          </w:p>
        </w:tc>
      </w:tr>
      <w:tr w:rsidR="00F81CCB" w:rsidRPr="00F81CCB" w14:paraId="21338D30" w14:textId="77777777" w:rsidTr="00F81CCB">
        <w:trPr>
          <w:trHeight w:val="288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A30226" w14:textId="77777777" w:rsidR="00F81CCB" w:rsidRPr="00F81CCB" w:rsidRDefault="00F81CCB" w:rsidP="00F81C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Tuky, oleje, vosky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64EA2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46,5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538D2C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26,7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5B8F2E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18,3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90820C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17,6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9D1E2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49,5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55CEE7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51,3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F3AE0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71,9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B27DBE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51,7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E97C0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50,1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605D4C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63,0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E7D717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63,1</w:t>
            </w:r>
          </w:p>
        </w:tc>
      </w:tr>
      <w:tr w:rsidR="00F81CCB" w:rsidRPr="00F81CCB" w14:paraId="06A20FF3" w14:textId="77777777" w:rsidTr="00F81CCB">
        <w:trPr>
          <w:trHeight w:val="288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C24BB" w14:textId="77777777" w:rsidR="00F81CCB" w:rsidRPr="00F81CCB" w:rsidRDefault="00F81CCB" w:rsidP="00F81C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Potraviny, nápoje, tabak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9FFE9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355,4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3B6FA6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377,0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3723A0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383,8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5E6F65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408,1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E426FF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441,2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B8CC0B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499,7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789FCF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627,4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78B8E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777,8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D1D21B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843,5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611AD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957,8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90F8B5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869,2</w:t>
            </w:r>
          </w:p>
        </w:tc>
      </w:tr>
      <w:tr w:rsidR="00F81CCB" w:rsidRPr="00F81CCB" w14:paraId="19FDE751" w14:textId="77777777" w:rsidTr="00F81CCB">
        <w:trPr>
          <w:trHeight w:val="288"/>
        </w:trPr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124A88BD" w14:textId="77777777" w:rsidR="00F81CCB" w:rsidRPr="00F81CCB" w:rsidRDefault="00F81CCB" w:rsidP="00F81C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Spolu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506C7B9F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861,5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6CCF6F1B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957,1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6CE651AC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896,6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5AD81EDB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969,0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30249CA3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1035,6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0799F455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1146,2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383F0F8F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1437,7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6644C101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1661,3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76AD3E51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1678,5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6F3CAC66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1724,2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05AEB261" w14:textId="77777777" w:rsidR="00F81CCB" w:rsidRPr="00F81CCB" w:rsidRDefault="00F81CCB" w:rsidP="00F81C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81C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1759,0</w:t>
            </w:r>
          </w:p>
        </w:tc>
      </w:tr>
    </w:tbl>
    <w:p w14:paraId="74FA3C8D" w14:textId="77777777" w:rsidR="00F81CCB" w:rsidRDefault="00F81CCB"/>
    <w:p w14:paraId="06D365C4" w14:textId="77777777" w:rsidR="00F81CCB" w:rsidRDefault="00F81CCB"/>
    <w:p w14:paraId="580338D8" w14:textId="09223C8F" w:rsidR="00F81CCB" w:rsidRDefault="00F81CCB">
      <w:r>
        <w:rPr>
          <w:noProof/>
        </w:rPr>
        <w:drawing>
          <wp:inline distT="0" distB="0" distL="0" distR="0" wp14:anchorId="72DD4BA1" wp14:editId="53E383D7">
            <wp:extent cx="7277100" cy="3086100"/>
            <wp:effectExtent l="0" t="0" r="0" b="0"/>
            <wp:docPr id="1335769674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8EED162B-DE45-47FE-A250-90BA397681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179ED5B" w14:textId="77777777" w:rsidR="00F81CCB" w:rsidRDefault="00F81CCB">
      <w:r>
        <w:br w:type="page"/>
      </w:r>
    </w:p>
    <w:tbl>
      <w:tblPr>
        <w:tblW w:w="133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903"/>
        <w:gridCol w:w="1041"/>
        <w:gridCol w:w="1041"/>
        <w:gridCol w:w="1041"/>
        <w:gridCol w:w="1041"/>
        <w:gridCol w:w="1041"/>
        <w:gridCol w:w="1058"/>
        <w:gridCol w:w="1058"/>
        <w:gridCol w:w="1058"/>
        <w:gridCol w:w="1058"/>
      </w:tblGrid>
      <w:tr w:rsidR="00FE42C5" w:rsidRPr="00FE42C5" w14:paraId="5E32A8C2" w14:textId="77777777" w:rsidTr="0021206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063D8" w14:textId="3EC8425A" w:rsidR="00FE42C5" w:rsidRPr="00FE42C5" w:rsidRDefault="00212064" w:rsidP="00FE4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SALDO v mil. EUR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3EE5" w14:textId="77777777" w:rsidR="00FE42C5" w:rsidRPr="00FE42C5" w:rsidRDefault="00FE42C5" w:rsidP="00FE42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A079" w14:textId="77777777" w:rsidR="00FE42C5" w:rsidRPr="00FE42C5" w:rsidRDefault="00FE42C5" w:rsidP="00FE42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0E29" w14:textId="77777777" w:rsidR="00FE42C5" w:rsidRPr="00FE42C5" w:rsidRDefault="00FE42C5" w:rsidP="00FE42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0A52" w14:textId="77777777" w:rsidR="00FE42C5" w:rsidRPr="00FE42C5" w:rsidRDefault="00FE42C5" w:rsidP="00FE42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5B3F2" w14:textId="77777777" w:rsidR="00FE42C5" w:rsidRPr="00FE42C5" w:rsidRDefault="00FE42C5" w:rsidP="00FE42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21AF" w14:textId="77777777" w:rsidR="00FE42C5" w:rsidRPr="00FE42C5" w:rsidRDefault="00FE42C5" w:rsidP="00FE42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9F716" w14:textId="77777777" w:rsidR="00FE42C5" w:rsidRPr="00FE42C5" w:rsidRDefault="00FE42C5" w:rsidP="00FE42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8EFE5" w14:textId="77777777" w:rsidR="00FE42C5" w:rsidRPr="00FE42C5" w:rsidRDefault="00FE42C5" w:rsidP="00FE42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7E30E" w14:textId="77777777" w:rsidR="00FE42C5" w:rsidRPr="00FE42C5" w:rsidRDefault="00FE42C5" w:rsidP="00FE42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7923" w14:textId="77777777" w:rsidR="00FE42C5" w:rsidRPr="00FE42C5" w:rsidRDefault="00FE42C5" w:rsidP="00FE42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0084" w14:textId="77777777" w:rsidR="00FE42C5" w:rsidRPr="00FE42C5" w:rsidRDefault="00FE42C5" w:rsidP="00FE42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E42C5" w:rsidRPr="00FE42C5" w14:paraId="3803E6F2" w14:textId="77777777" w:rsidTr="00212064">
        <w:trPr>
          <w:trHeight w:val="304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58810E64" w14:textId="77777777" w:rsidR="00FE42C5" w:rsidRPr="00FE42C5" w:rsidRDefault="00FE42C5" w:rsidP="00FE4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Odvetvie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6A11EC17" w14:textId="77777777" w:rsidR="00FE42C5" w:rsidRPr="00FE42C5" w:rsidRDefault="00FE42C5" w:rsidP="00FE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2016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4C9B1F6C" w14:textId="77777777" w:rsidR="00FE42C5" w:rsidRPr="00FE42C5" w:rsidRDefault="00FE42C5" w:rsidP="00FE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2017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76114FBE" w14:textId="77777777" w:rsidR="00FE42C5" w:rsidRPr="00FE42C5" w:rsidRDefault="00FE42C5" w:rsidP="00FE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2018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112D203E" w14:textId="77777777" w:rsidR="00FE42C5" w:rsidRPr="00FE42C5" w:rsidRDefault="00FE42C5" w:rsidP="00FE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2019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0B3A9383" w14:textId="77777777" w:rsidR="00FE42C5" w:rsidRPr="00FE42C5" w:rsidRDefault="00FE42C5" w:rsidP="00FE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2020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6139C9C7" w14:textId="77777777" w:rsidR="00FE42C5" w:rsidRPr="00FE42C5" w:rsidRDefault="00FE42C5" w:rsidP="00FE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2021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00FEB22F" w14:textId="77777777" w:rsidR="00FE42C5" w:rsidRPr="00FE42C5" w:rsidRDefault="00FE42C5" w:rsidP="00FE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2022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46067536" w14:textId="77777777" w:rsidR="00FE42C5" w:rsidRPr="00FE42C5" w:rsidRDefault="00FE42C5" w:rsidP="00FE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2023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00CB850B" w14:textId="77777777" w:rsidR="00FE42C5" w:rsidRPr="00FE42C5" w:rsidRDefault="00FE42C5" w:rsidP="00FE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2024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1ABBAF92" w14:textId="77777777" w:rsidR="00FE42C5" w:rsidRPr="00FE42C5" w:rsidRDefault="00FE42C5" w:rsidP="00FE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2025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2D4B2CD6" w14:textId="77777777" w:rsidR="00FE42C5" w:rsidRPr="00FE42C5" w:rsidRDefault="00FE42C5" w:rsidP="00FE42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I. až IV. 2026</w:t>
            </w:r>
          </w:p>
        </w:tc>
      </w:tr>
      <w:tr w:rsidR="00FE42C5" w:rsidRPr="00FE42C5" w14:paraId="656B50C9" w14:textId="77777777" w:rsidTr="00212064">
        <w:trPr>
          <w:trHeight w:val="30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BFA1E7" w14:textId="77777777" w:rsidR="00FE42C5" w:rsidRPr="00FE42C5" w:rsidRDefault="00FE42C5" w:rsidP="00FE4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Živočíšne výrobky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B2DDC1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-89,6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F20FD9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-125,8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6F6C3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-144,7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45654B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-172,5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4BA88A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-214,7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8D9C1C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-176,5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AAC02D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-258,1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9B6EAA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-248,6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F15463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-359,3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F31A1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-315,8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5FDB42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-250,3</w:t>
            </w:r>
          </w:p>
        </w:tc>
      </w:tr>
      <w:tr w:rsidR="00FE42C5" w:rsidRPr="00FE42C5" w14:paraId="5C1B9312" w14:textId="77777777" w:rsidTr="00212064">
        <w:trPr>
          <w:trHeight w:val="30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0718BE" w14:textId="77777777" w:rsidR="00FE42C5" w:rsidRPr="00FE42C5" w:rsidRDefault="00FE42C5" w:rsidP="00FE4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Rastlinné výrobky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D162D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-112,7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589E6D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C2B2E3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-106,8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556889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-69,8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9820D8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-73,9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30C67A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-15,1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AFF26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-36,4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5B43EC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-76,2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99CE2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-102,2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14765F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-244,1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0E067C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-212,8</w:t>
            </w:r>
          </w:p>
        </w:tc>
      </w:tr>
      <w:tr w:rsidR="00FE42C5" w:rsidRPr="00FE42C5" w14:paraId="65316116" w14:textId="77777777" w:rsidTr="00212064">
        <w:trPr>
          <w:trHeight w:val="30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E5F315" w14:textId="77777777" w:rsidR="00FE42C5" w:rsidRPr="00FE42C5" w:rsidRDefault="00FE42C5" w:rsidP="00FE4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Tuky, oleje, vosky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AB226E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-17,6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549978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-28,2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9083AF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-26,7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18AA6A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-30,1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E762F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-4,6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89C1A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-6,4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295FAC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-40,5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48153D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-81,0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639123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-50,0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3CC99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-97,1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8CDE1B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-54,2</w:t>
            </w:r>
          </w:p>
        </w:tc>
      </w:tr>
      <w:tr w:rsidR="00FE42C5" w:rsidRPr="00FE42C5" w14:paraId="6129EED8" w14:textId="77777777" w:rsidTr="00212064">
        <w:trPr>
          <w:trHeight w:val="30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667A6F" w14:textId="77777777" w:rsidR="00FE42C5" w:rsidRPr="00FE42C5" w:rsidRDefault="00FE42C5" w:rsidP="00FE42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Potraviny, nápoje, tabak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73CE51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-257,8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BEB2AD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-229,5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941A2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-286,6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B7B2D3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-302,8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5433BA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-311,9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512FB3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-315,7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9FCAA7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-309,8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E66B3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-358,7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26A897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-404,0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E47E0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-388,7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83DDC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-487,3</w:t>
            </w:r>
          </w:p>
        </w:tc>
      </w:tr>
      <w:tr w:rsidR="00FE42C5" w:rsidRPr="00FE42C5" w14:paraId="404504A4" w14:textId="77777777" w:rsidTr="00212064">
        <w:trPr>
          <w:trHeight w:val="30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20BCD114" w14:textId="77777777" w:rsidR="00FE42C5" w:rsidRPr="00FE42C5" w:rsidRDefault="00FE42C5" w:rsidP="00FE4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Spolu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06ADA25E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-477,7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4E3AA92B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-378,9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3B78B93A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-564,8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2166C169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-575,2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7E169CBA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-605,1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448785A1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-513,7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1E1E4749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-644,8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0AA16E2D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-764,5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6E0C5FBB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-915,5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6BC1694A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-1045,7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noWrap/>
            <w:vAlign w:val="center"/>
            <w:hideMark/>
          </w:tcPr>
          <w:p w14:paraId="75F12C7F" w14:textId="77777777" w:rsidR="00FE42C5" w:rsidRPr="00FE42C5" w:rsidRDefault="00FE42C5" w:rsidP="00FE42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E42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-1004,6</w:t>
            </w:r>
          </w:p>
        </w:tc>
      </w:tr>
    </w:tbl>
    <w:p w14:paraId="3E3818F5" w14:textId="77777777" w:rsidR="00F81CCB" w:rsidRDefault="00F81CCB"/>
    <w:p w14:paraId="4CDE2B41" w14:textId="77777777" w:rsidR="00FE42C5" w:rsidRDefault="00FE42C5"/>
    <w:p w14:paraId="4161D805" w14:textId="19DD369B" w:rsidR="00FE42C5" w:rsidRDefault="00FE42C5">
      <w:r>
        <w:rPr>
          <w:noProof/>
        </w:rPr>
        <w:drawing>
          <wp:inline distT="0" distB="0" distL="0" distR="0" wp14:anchorId="5684918E" wp14:editId="4BF1A3AE">
            <wp:extent cx="7143750" cy="2457450"/>
            <wp:effectExtent l="0" t="0" r="0" b="0"/>
            <wp:docPr id="1568423175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F505B2EF-53EA-43DB-A1E3-7790770835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AFCEC90" w14:textId="77777777" w:rsidR="00682E54" w:rsidRDefault="00682E54"/>
    <w:p w14:paraId="6E6776C7" w14:textId="48FDB79F" w:rsidR="00682E54" w:rsidRDefault="00682E54">
      <w:r>
        <w:t>Poznámka: rok 2026 – predbežné údaje</w:t>
      </w:r>
    </w:p>
    <w:sectPr w:rsidR="00682E54" w:rsidSect="00F81CCB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12581" w14:textId="77777777" w:rsidR="002127DC" w:rsidRDefault="002127DC" w:rsidP="00F81CCB">
      <w:pPr>
        <w:spacing w:after="0" w:line="240" w:lineRule="auto"/>
      </w:pPr>
      <w:r>
        <w:separator/>
      </w:r>
    </w:p>
  </w:endnote>
  <w:endnote w:type="continuationSeparator" w:id="0">
    <w:p w14:paraId="1A6C4EC9" w14:textId="77777777" w:rsidR="002127DC" w:rsidRDefault="002127DC" w:rsidP="00F81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3DAA5" w14:textId="77777777" w:rsidR="002127DC" w:rsidRDefault="002127DC" w:rsidP="00F81CCB">
      <w:pPr>
        <w:spacing w:after="0" w:line="240" w:lineRule="auto"/>
      </w:pPr>
      <w:r>
        <w:separator/>
      </w:r>
    </w:p>
  </w:footnote>
  <w:footnote w:type="continuationSeparator" w:id="0">
    <w:p w14:paraId="7B6668D5" w14:textId="77777777" w:rsidR="002127DC" w:rsidRDefault="002127DC" w:rsidP="00F81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57378" w14:textId="77777777" w:rsidR="00F81CCB" w:rsidRDefault="00F81CCB" w:rsidP="00F81CCB">
    <w:pPr>
      <w:pStyle w:val="Hlavika"/>
      <w:jc w:val="center"/>
      <w:rPr>
        <w:b/>
        <w:bCs/>
      </w:rPr>
    </w:pPr>
    <w:r>
      <w:rPr>
        <w:b/>
        <w:bCs/>
      </w:rPr>
      <w:t xml:space="preserve">Porovnanie zahraničného obchodu s agropotravinárskymi komoditami </w:t>
    </w:r>
  </w:p>
  <w:p w14:paraId="2A5E5630" w14:textId="0D2EFB67" w:rsidR="00F81CCB" w:rsidRPr="00F81CCB" w:rsidRDefault="00F81CCB" w:rsidP="00F81CCB">
    <w:pPr>
      <w:pStyle w:val="Hlavika"/>
      <w:jc w:val="center"/>
      <w:rPr>
        <w:b/>
        <w:bCs/>
      </w:rPr>
    </w:pPr>
    <w:r>
      <w:rPr>
        <w:b/>
        <w:bCs/>
      </w:rPr>
      <w:t>v januári až apríli 2016-2026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CB"/>
    <w:rsid w:val="000379B8"/>
    <w:rsid w:val="001570BC"/>
    <w:rsid w:val="001B6CC7"/>
    <w:rsid w:val="00212064"/>
    <w:rsid w:val="002127DC"/>
    <w:rsid w:val="003F7252"/>
    <w:rsid w:val="0066002E"/>
    <w:rsid w:val="00682E54"/>
    <w:rsid w:val="00F81CCB"/>
    <w:rsid w:val="00FE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D42D"/>
  <w15:chartTrackingRefBased/>
  <w15:docId w15:val="{B16D5D57-D959-4633-ADDA-2170EC22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81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81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81C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81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81C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81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81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81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81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81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81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81C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81CC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81CC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81C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81C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81C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81CC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81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81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81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81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81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81CC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81CC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81CC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81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81CC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81CCB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F81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1CCB"/>
  </w:style>
  <w:style w:type="paragraph" w:styleId="Pta">
    <w:name w:val="footer"/>
    <w:basedOn w:val="Normlny"/>
    <w:link w:val="PtaChar"/>
    <w:uiPriority w:val="99"/>
    <w:unhideWhenUsed/>
    <w:rsid w:val="00F81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1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20.55\sppk\&#218;RAD%20SPPK\ODBOR%20POTRAVIN&#193;RSTVA%20A%20OBCHODU\ZAHRANICNY%20OBCHOD\ZO%202026\4_2026\Porovnanie%20ZO%20v%20janu&#225;ri%20a&#382;%20apr&#237;li%20v%20rokoch%202016%20a&#382;%20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20.55\sppk\&#218;RAD%20SPPK\ODBOR%20POTRAVIN&#193;RSTVA%20A%20OBCHODU\ZAHRANICNY%20OBCHOD\ZO%202026\4_2026\Porovnanie%20ZO%20v%20janu&#225;ri%20a&#382;%20apr&#237;li%20v%20rokoch%202016%20a&#382;%20202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20.55\sppk\&#218;RAD%20SPPK\ODBOR%20POTRAVIN&#193;RSTVA%20A%20OBCHODU\ZAHRANICNY%20OBCHOD\ZO%202026\4_2026\Porovnanie%20ZO%20v%20janu&#225;ri%20a&#382;%20apr&#237;li%20v%20rokoch%202016%20a&#382;%202026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 sz="9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Dovoz agropotravinárskych výrobkov v januári až apríli 2016-2026</a:t>
            </a:r>
          </a:p>
          <a:p>
            <a:pPr>
              <a:defRPr/>
            </a:pPr>
            <a:r>
              <a:rPr lang="sk-SK" sz="9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(v mil EUR)</a:t>
            </a:r>
            <a:endParaRPr lang="sk-SK" sz="9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Hárok1!$A$3</c:f>
              <c:strCache>
                <c:ptCount val="1"/>
                <c:pt idx="0">
                  <c:v>Živočíšne výrobky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Hárok1!$B$2:$L$2</c:f>
              <c:strCache>
                <c:ptCount val="11"/>
                <c:pt idx="0">
                  <c:v>I. až IV. 2016</c:v>
                </c:pt>
                <c:pt idx="1">
                  <c:v>I. až IV. 2017</c:v>
                </c:pt>
                <c:pt idx="2">
                  <c:v>I. až IV. 2018</c:v>
                </c:pt>
                <c:pt idx="3">
                  <c:v>I. až IV. 2019</c:v>
                </c:pt>
                <c:pt idx="4">
                  <c:v>I. až IV. 2020</c:v>
                </c:pt>
                <c:pt idx="5">
                  <c:v>I. až IV. 2021</c:v>
                </c:pt>
                <c:pt idx="6">
                  <c:v>I. až IV. 2022</c:v>
                </c:pt>
                <c:pt idx="7">
                  <c:v>I. až IV. 2023</c:v>
                </c:pt>
                <c:pt idx="8">
                  <c:v>I. až IV. 2024</c:v>
                </c:pt>
                <c:pt idx="9">
                  <c:v>I. až IV. 2025</c:v>
                </c:pt>
                <c:pt idx="10">
                  <c:v>I. až IV. 2026</c:v>
                </c:pt>
              </c:strCache>
            </c:strRef>
          </c:cat>
          <c:val>
            <c:numRef>
              <c:f>Hárok1!$B$3:$L$3</c:f>
              <c:numCache>
                <c:formatCode>0.0</c:formatCode>
                <c:ptCount val="11"/>
                <c:pt idx="0">
                  <c:v>269.8</c:v>
                </c:pt>
                <c:pt idx="1">
                  <c:v>311.5</c:v>
                </c:pt>
                <c:pt idx="2">
                  <c:v>357.3</c:v>
                </c:pt>
                <c:pt idx="3">
                  <c:v>360.8</c:v>
                </c:pt>
                <c:pt idx="4">
                  <c:v>399.3</c:v>
                </c:pt>
                <c:pt idx="5">
                  <c:v>350.2</c:v>
                </c:pt>
                <c:pt idx="6">
                  <c:v>502.3</c:v>
                </c:pt>
                <c:pt idx="7">
                  <c:v>526.4</c:v>
                </c:pt>
                <c:pt idx="8">
                  <c:v>639.6</c:v>
                </c:pt>
                <c:pt idx="9">
                  <c:v>602</c:v>
                </c:pt>
                <c:pt idx="10">
                  <c:v>591.1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5A-45F6-A766-95A71F128331}"/>
            </c:ext>
          </c:extLst>
        </c:ser>
        <c:ser>
          <c:idx val="1"/>
          <c:order val="1"/>
          <c:tx>
            <c:strRef>
              <c:f>Hárok1!$A$4</c:f>
              <c:strCache>
                <c:ptCount val="1"/>
                <c:pt idx="0">
                  <c:v>Rastlinné výrobky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Hárok1!$B$2:$L$2</c:f>
              <c:strCache>
                <c:ptCount val="11"/>
                <c:pt idx="0">
                  <c:v>I. až IV. 2016</c:v>
                </c:pt>
                <c:pt idx="1">
                  <c:v>I. až IV. 2017</c:v>
                </c:pt>
                <c:pt idx="2">
                  <c:v>I. až IV. 2018</c:v>
                </c:pt>
                <c:pt idx="3">
                  <c:v>I. až IV. 2019</c:v>
                </c:pt>
                <c:pt idx="4">
                  <c:v>I. až IV. 2020</c:v>
                </c:pt>
                <c:pt idx="5">
                  <c:v>I. až IV. 2021</c:v>
                </c:pt>
                <c:pt idx="6">
                  <c:v>I. až IV. 2022</c:v>
                </c:pt>
                <c:pt idx="7">
                  <c:v>I. až IV. 2023</c:v>
                </c:pt>
                <c:pt idx="8">
                  <c:v>I. až IV. 2024</c:v>
                </c:pt>
                <c:pt idx="9">
                  <c:v>I. až IV. 2025</c:v>
                </c:pt>
                <c:pt idx="10">
                  <c:v>I. až IV. 2026</c:v>
                </c:pt>
              </c:strCache>
            </c:strRef>
          </c:cat>
          <c:val>
            <c:numRef>
              <c:f>Hárok1!$B$4:$L$4</c:f>
              <c:numCache>
                <c:formatCode>0.0</c:formatCode>
                <c:ptCount val="11"/>
                <c:pt idx="0">
                  <c:v>392.1</c:v>
                </c:pt>
                <c:pt idx="1">
                  <c:v>363.1</c:v>
                </c:pt>
                <c:pt idx="2">
                  <c:v>388.7</c:v>
                </c:pt>
                <c:pt idx="3">
                  <c:v>424.8</c:v>
                </c:pt>
                <c:pt idx="4">
                  <c:v>434.3</c:v>
                </c:pt>
                <c:pt idx="5">
                  <c:v>436.6</c:v>
                </c:pt>
                <c:pt idx="6">
                  <c:v>530.6</c:v>
                </c:pt>
                <c:pt idx="7">
                  <c:v>630.20000000000005</c:v>
                </c:pt>
                <c:pt idx="8">
                  <c:v>606.79999999999995</c:v>
                </c:pt>
                <c:pt idx="9">
                  <c:v>661.30000000000007</c:v>
                </c:pt>
                <c:pt idx="10">
                  <c:v>698.7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5A-45F6-A766-95A71F128331}"/>
            </c:ext>
          </c:extLst>
        </c:ser>
        <c:ser>
          <c:idx val="2"/>
          <c:order val="2"/>
          <c:tx>
            <c:strRef>
              <c:f>Hárok1!$A$5</c:f>
              <c:strCache>
                <c:ptCount val="1"/>
                <c:pt idx="0">
                  <c:v>Tuky, oleje, vosky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Hárok1!$B$2:$L$2</c:f>
              <c:strCache>
                <c:ptCount val="11"/>
                <c:pt idx="0">
                  <c:v>I. až IV. 2016</c:v>
                </c:pt>
                <c:pt idx="1">
                  <c:v>I. až IV. 2017</c:v>
                </c:pt>
                <c:pt idx="2">
                  <c:v>I. až IV. 2018</c:v>
                </c:pt>
                <c:pt idx="3">
                  <c:v>I. až IV. 2019</c:v>
                </c:pt>
                <c:pt idx="4">
                  <c:v>I. až IV. 2020</c:v>
                </c:pt>
                <c:pt idx="5">
                  <c:v>I. až IV. 2021</c:v>
                </c:pt>
                <c:pt idx="6">
                  <c:v>I. až IV. 2022</c:v>
                </c:pt>
                <c:pt idx="7">
                  <c:v>I. až IV. 2023</c:v>
                </c:pt>
                <c:pt idx="8">
                  <c:v>I. až IV. 2024</c:v>
                </c:pt>
                <c:pt idx="9">
                  <c:v>I. až IV. 2025</c:v>
                </c:pt>
                <c:pt idx="10">
                  <c:v>I. až IV. 2026</c:v>
                </c:pt>
              </c:strCache>
            </c:strRef>
          </c:cat>
          <c:val>
            <c:numRef>
              <c:f>Hárok1!$B$5:$L$5</c:f>
              <c:numCache>
                <c:formatCode>0.0</c:formatCode>
                <c:ptCount val="11"/>
                <c:pt idx="0">
                  <c:v>64.099999999999994</c:v>
                </c:pt>
                <c:pt idx="1">
                  <c:v>54.9</c:v>
                </c:pt>
                <c:pt idx="2">
                  <c:v>45</c:v>
                </c:pt>
                <c:pt idx="3">
                  <c:v>47.7</c:v>
                </c:pt>
                <c:pt idx="4">
                  <c:v>54</c:v>
                </c:pt>
                <c:pt idx="5">
                  <c:v>57.7</c:v>
                </c:pt>
                <c:pt idx="6">
                  <c:v>112.4</c:v>
                </c:pt>
                <c:pt idx="7">
                  <c:v>132.69999999999999</c:v>
                </c:pt>
                <c:pt idx="8">
                  <c:v>100.1</c:v>
                </c:pt>
                <c:pt idx="9">
                  <c:v>160.1</c:v>
                </c:pt>
                <c:pt idx="10">
                  <c:v>117.30000000000001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5A-45F6-A766-95A71F128331}"/>
            </c:ext>
          </c:extLst>
        </c:ser>
        <c:ser>
          <c:idx val="3"/>
          <c:order val="3"/>
          <c:tx>
            <c:strRef>
              <c:f>Hárok1!$A$6</c:f>
              <c:strCache>
                <c:ptCount val="1"/>
                <c:pt idx="0">
                  <c:v>Potraviny, nápoje, tabak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Hárok1!$B$2:$L$2</c:f>
              <c:strCache>
                <c:ptCount val="11"/>
                <c:pt idx="0">
                  <c:v>I. až IV. 2016</c:v>
                </c:pt>
                <c:pt idx="1">
                  <c:v>I. až IV. 2017</c:v>
                </c:pt>
                <c:pt idx="2">
                  <c:v>I. až IV. 2018</c:v>
                </c:pt>
                <c:pt idx="3">
                  <c:v>I. až IV. 2019</c:v>
                </c:pt>
                <c:pt idx="4">
                  <c:v>I. až IV. 2020</c:v>
                </c:pt>
                <c:pt idx="5">
                  <c:v>I. až IV. 2021</c:v>
                </c:pt>
                <c:pt idx="6">
                  <c:v>I. až IV. 2022</c:v>
                </c:pt>
                <c:pt idx="7">
                  <c:v>I. až IV. 2023</c:v>
                </c:pt>
                <c:pt idx="8">
                  <c:v>I. až IV. 2024</c:v>
                </c:pt>
                <c:pt idx="9">
                  <c:v>I. až IV. 2025</c:v>
                </c:pt>
                <c:pt idx="10">
                  <c:v>I. až IV. 2026</c:v>
                </c:pt>
              </c:strCache>
            </c:strRef>
          </c:cat>
          <c:val>
            <c:numRef>
              <c:f>Hárok1!$B$6:$L$6</c:f>
              <c:numCache>
                <c:formatCode>0.0</c:formatCode>
                <c:ptCount val="11"/>
                <c:pt idx="0">
                  <c:v>613.20000000000005</c:v>
                </c:pt>
                <c:pt idx="1">
                  <c:v>606.5</c:v>
                </c:pt>
                <c:pt idx="2">
                  <c:v>670.4</c:v>
                </c:pt>
                <c:pt idx="3">
                  <c:v>710.9</c:v>
                </c:pt>
                <c:pt idx="4">
                  <c:v>753.1</c:v>
                </c:pt>
                <c:pt idx="5">
                  <c:v>815.4</c:v>
                </c:pt>
                <c:pt idx="6">
                  <c:v>937.2</c:v>
                </c:pt>
                <c:pt idx="7">
                  <c:v>1136.5</c:v>
                </c:pt>
                <c:pt idx="8">
                  <c:v>1247.5</c:v>
                </c:pt>
                <c:pt idx="9">
                  <c:v>1346.5</c:v>
                </c:pt>
                <c:pt idx="10">
                  <c:v>1356.5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15A-45F6-A766-95A71F128331}"/>
            </c:ext>
          </c:extLst>
        </c:ser>
        <c:ser>
          <c:idx val="4"/>
          <c:order val="4"/>
          <c:tx>
            <c:strRef>
              <c:f>Hárok1!$A$7</c:f>
              <c:strCache>
                <c:ptCount val="1"/>
                <c:pt idx="0">
                  <c:v>Spolu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Hárok1!$B$2:$L$2</c:f>
              <c:strCache>
                <c:ptCount val="11"/>
                <c:pt idx="0">
                  <c:v>I. až IV. 2016</c:v>
                </c:pt>
                <c:pt idx="1">
                  <c:v>I. až IV. 2017</c:v>
                </c:pt>
                <c:pt idx="2">
                  <c:v>I. až IV. 2018</c:v>
                </c:pt>
                <c:pt idx="3">
                  <c:v>I. až IV. 2019</c:v>
                </c:pt>
                <c:pt idx="4">
                  <c:v>I. až IV. 2020</c:v>
                </c:pt>
                <c:pt idx="5">
                  <c:v>I. až IV. 2021</c:v>
                </c:pt>
                <c:pt idx="6">
                  <c:v>I. až IV. 2022</c:v>
                </c:pt>
                <c:pt idx="7">
                  <c:v>I. až IV. 2023</c:v>
                </c:pt>
                <c:pt idx="8">
                  <c:v>I. až IV. 2024</c:v>
                </c:pt>
                <c:pt idx="9">
                  <c:v>I. až IV. 2025</c:v>
                </c:pt>
                <c:pt idx="10">
                  <c:v>I. až IV. 2026</c:v>
                </c:pt>
              </c:strCache>
            </c:strRef>
          </c:cat>
          <c:val>
            <c:numRef>
              <c:f>Hárok1!$B$7:$L$7</c:f>
              <c:numCache>
                <c:formatCode>0.0</c:formatCode>
                <c:ptCount val="11"/>
                <c:pt idx="0">
                  <c:v>1339.2</c:v>
                </c:pt>
                <c:pt idx="1">
                  <c:v>1336</c:v>
                </c:pt>
                <c:pt idx="2">
                  <c:v>1461.4</c:v>
                </c:pt>
                <c:pt idx="3">
                  <c:v>1544.2</c:v>
                </c:pt>
                <c:pt idx="4">
                  <c:v>1640.7</c:v>
                </c:pt>
                <c:pt idx="5">
                  <c:v>1659.9</c:v>
                </c:pt>
                <c:pt idx="6">
                  <c:v>2082.5</c:v>
                </c:pt>
                <c:pt idx="7">
                  <c:v>2425.8000000000002</c:v>
                </c:pt>
                <c:pt idx="8">
                  <c:v>2594</c:v>
                </c:pt>
                <c:pt idx="9">
                  <c:v>2769.9</c:v>
                </c:pt>
                <c:pt idx="10">
                  <c:v>2763.6000000000004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15A-45F6-A766-95A71F1283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52554335"/>
        <c:axId val="1152555295"/>
      </c:barChart>
      <c:catAx>
        <c:axId val="11525543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1152555295"/>
        <c:crosses val="autoZero"/>
        <c:auto val="1"/>
        <c:lblAlgn val="ctr"/>
        <c:lblOffset val="100"/>
        <c:noMultiLvlLbl val="0"/>
      </c:catAx>
      <c:valAx>
        <c:axId val="11525552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11525543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 sz="900" b="1"/>
              <a:t>Vývoz agropotravinárskych výrobkov</a:t>
            </a:r>
            <a:r>
              <a:rPr lang="sk-SK" sz="900" b="1" baseline="0"/>
              <a:t> v januári až apríli 2016-2026</a:t>
            </a:r>
          </a:p>
          <a:p>
            <a:pPr>
              <a:defRPr sz="900" b="1"/>
            </a:pPr>
            <a:r>
              <a:rPr lang="sk-SK" sz="900" b="1" baseline="0"/>
              <a:t>(v mil. EUR)</a:t>
            </a:r>
            <a:endParaRPr lang="sk-SK" sz="900" b="1"/>
          </a:p>
        </c:rich>
      </c:tx>
      <c:layout>
        <c:manualLayout>
          <c:xMode val="edge"/>
          <c:yMode val="edge"/>
          <c:x val="0.2432022727862666"/>
          <c:y val="2.48601615910503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Hárok1!$A$28</c:f>
              <c:strCache>
                <c:ptCount val="1"/>
                <c:pt idx="0">
                  <c:v>Živočíšne výrobky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Hárok1!$B$27:$L$27</c:f>
              <c:strCache>
                <c:ptCount val="11"/>
                <c:pt idx="0">
                  <c:v>I. až IV. 2016</c:v>
                </c:pt>
                <c:pt idx="1">
                  <c:v>I. až IV. 2017</c:v>
                </c:pt>
                <c:pt idx="2">
                  <c:v>I. až IV. 2018</c:v>
                </c:pt>
                <c:pt idx="3">
                  <c:v>I. až IV. 2019</c:v>
                </c:pt>
                <c:pt idx="4">
                  <c:v>I. až IV. 2020</c:v>
                </c:pt>
                <c:pt idx="5">
                  <c:v>I. až IV. 2021</c:v>
                </c:pt>
                <c:pt idx="6">
                  <c:v>I. až IV. 2022</c:v>
                </c:pt>
                <c:pt idx="7">
                  <c:v>I. až IV. 2023</c:v>
                </c:pt>
                <c:pt idx="8">
                  <c:v>I. až IV. 2024</c:v>
                </c:pt>
                <c:pt idx="9">
                  <c:v>I. až IV. 2025</c:v>
                </c:pt>
                <c:pt idx="10">
                  <c:v>I. až IV. 2026</c:v>
                </c:pt>
              </c:strCache>
            </c:strRef>
          </c:cat>
          <c:val>
            <c:numRef>
              <c:f>Hárok1!$B$28:$L$28</c:f>
              <c:numCache>
                <c:formatCode>0.0</c:formatCode>
                <c:ptCount val="11"/>
                <c:pt idx="0">
                  <c:v>180.2</c:v>
                </c:pt>
                <c:pt idx="1">
                  <c:v>185.7</c:v>
                </c:pt>
                <c:pt idx="2">
                  <c:v>212.6</c:v>
                </c:pt>
                <c:pt idx="3">
                  <c:v>188.3</c:v>
                </c:pt>
                <c:pt idx="4">
                  <c:v>184.6</c:v>
                </c:pt>
                <c:pt idx="5">
                  <c:v>173.7</c:v>
                </c:pt>
                <c:pt idx="6">
                  <c:v>244.2</c:v>
                </c:pt>
                <c:pt idx="7">
                  <c:v>277.8</c:v>
                </c:pt>
                <c:pt idx="8">
                  <c:v>280.3</c:v>
                </c:pt>
                <c:pt idx="9">
                  <c:v>286.2</c:v>
                </c:pt>
                <c:pt idx="10">
                  <c:v>340.8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A0-4DF2-B331-6B0B7AD82DB3}"/>
            </c:ext>
          </c:extLst>
        </c:ser>
        <c:ser>
          <c:idx val="1"/>
          <c:order val="1"/>
          <c:tx>
            <c:strRef>
              <c:f>Hárok1!$A$29</c:f>
              <c:strCache>
                <c:ptCount val="1"/>
                <c:pt idx="0">
                  <c:v>Rastlinné výrobky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Hárok1!$B$27:$L$27</c:f>
              <c:strCache>
                <c:ptCount val="11"/>
                <c:pt idx="0">
                  <c:v>I. až IV. 2016</c:v>
                </c:pt>
                <c:pt idx="1">
                  <c:v>I. až IV. 2017</c:v>
                </c:pt>
                <c:pt idx="2">
                  <c:v>I. až IV. 2018</c:v>
                </c:pt>
                <c:pt idx="3">
                  <c:v>I. až IV. 2019</c:v>
                </c:pt>
                <c:pt idx="4">
                  <c:v>I. až IV. 2020</c:v>
                </c:pt>
                <c:pt idx="5">
                  <c:v>I. až IV. 2021</c:v>
                </c:pt>
                <c:pt idx="6">
                  <c:v>I. až IV. 2022</c:v>
                </c:pt>
                <c:pt idx="7">
                  <c:v>I. až IV. 2023</c:v>
                </c:pt>
                <c:pt idx="8">
                  <c:v>I. až IV. 2024</c:v>
                </c:pt>
                <c:pt idx="9">
                  <c:v>I. až IV. 2025</c:v>
                </c:pt>
                <c:pt idx="10">
                  <c:v>I. až IV. 2026</c:v>
                </c:pt>
              </c:strCache>
            </c:strRef>
          </c:cat>
          <c:val>
            <c:numRef>
              <c:f>Hárok1!$B$29:$L$29</c:f>
              <c:numCache>
                <c:formatCode>0.0</c:formatCode>
                <c:ptCount val="11"/>
                <c:pt idx="0">
                  <c:v>279.39999999999998</c:v>
                </c:pt>
                <c:pt idx="1">
                  <c:v>367.7</c:v>
                </c:pt>
                <c:pt idx="2">
                  <c:v>281.89999999999998</c:v>
                </c:pt>
                <c:pt idx="3">
                  <c:v>355</c:v>
                </c:pt>
                <c:pt idx="4">
                  <c:v>360.3</c:v>
                </c:pt>
                <c:pt idx="5">
                  <c:v>421.5</c:v>
                </c:pt>
                <c:pt idx="6">
                  <c:v>494.2</c:v>
                </c:pt>
                <c:pt idx="7">
                  <c:v>554</c:v>
                </c:pt>
                <c:pt idx="8">
                  <c:v>504.6</c:v>
                </c:pt>
                <c:pt idx="9">
                  <c:v>417.2</c:v>
                </c:pt>
                <c:pt idx="10">
                  <c:v>485.9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A0-4DF2-B331-6B0B7AD82DB3}"/>
            </c:ext>
          </c:extLst>
        </c:ser>
        <c:ser>
          <c:idx val="2"/>
          <c:order val="2"/>
          <c:tx>
            <c:strRef>
              <c:f>Hárok1!$A$30</c:f>
              <c:strCache>
                <c:ptCount val="1"/>
                <c:pt idx="0">
                  <c:v>Tuky, oleje, vosky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Hárok1!$B$27:$L$27</c:f>
              <c:strCache>
                <c:ptCount val="11"/>
                <c:pt idx="0">
                  <c:v>I. až IV. 2016</c:v>
                </c:pt>
                <c:pt idx="1">
                  <c:v>I. až IV. 2017</c:v>
                </c:pt>
                <c:pt idx="2">
                  <c:v>I. až IV. 2018</c:v>
                </c:pt>
                <c:pt idx="3">
                  <c:v>I. až IV. 2019</c:v>
                </c:pt>
                <c:pt idx="4">
                  <c:v>I. až IV. 2020</c:v>
                </c:pt>
                <c:pt idx="5">
                  <c:v>I. až IV. 2021</c:v>
                </c:pt>
                <c:pt idx="6">
                  <c:v>I. až IV. 2022</c:v>
                </c:pt>
                <c:pt idx="7">
                  <c:v>I. až IV. 2023</c:v>
                </c:pt>
                <c:pt idx="8">
                  <c:v>I. až IV. 2024</c:v>
                </c:pt>
                <c:pt idx="9">
                  <c:v>I. až IV. 2025</c:v>
                </c:pt>
                <c:pt idx="10">
                  <c:v>I. až IV. 2026</c:v>
                </c:pt>
              </c:strCache>
            </c:strRef>
          </c:cat>
          <c:val>
            <c:numRef>
              <c:f>Hárok1!$B$30:$L$30</c:f>
              <c:numCache>
                <c:formatCode>0.0</c:formatCode>
                <c:ptCount val="11"/>
                <c:pt idx="0">
                  <c:v>46.5</c:v>
                </c:pt>
                <c:pt idx="1">
                  <c:v>26.7</c:v>
                </c:pt>
                <c:pt idx="2">
                  <c:v>18.3</c:v>
                </c:pt>
                <c:pt idx="3">
                  <c:v>17.600000000000001</c:v>
                </c:pt>
                <c:pt idx="4">
                  <c:v>49.5</c:v>
                </c:pt>
                <c:pt idx="5">
                  <c:v>51.3</c:v>
                </c:pt>
                <c:pt idx="6">
                  <c:v>71.900000000000006</c:v>
                </c:pt>
                <c:pt idx="7">
                  <c:v>51.7</c:v>
                </c:pt>
                <c:pt idx="8">
                  <c:v>50.1</c:v>
                </c:pt>
                <c:pt idx="9">
                  <c:v>63</c:v>
                </c:pt>
                <c:pt idx="10">
                  <c:v>63.1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A0-4DF2-B331-6B0B7AD82DB3}"/>
            </c:ext>
          </c:extLst>
        </c:ser>
        <c:ser>
          <c:idx val="3"/>
          <c:order val="3"/>
          <c:tx>
            <c:strRef>
              <c:f>Hárok1!$A$31</c:f>
              <c:strCache>
                <c:ptCount val="1"/>
                <c:pt idx="0">
                  <c:v>Potraviny, nápoje, tabak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Hárok1!$B$27:$L$27</c:f>
              <c:strCache>
                <c:ptCount val="11"/>
                <c:pt idx="0">
                  <c:v>I. až IV. 2016</c:v>
                </c:pt>
                <c:pt idx="1">
                  <c:v>I. až IV. 2017</c:v>
                </c:pt>
                <c:pt idx="2">
                  <c:v>I. až IV. 2018</c:v>
                </c:pt>
                <c:pt idx="3">
                  <c:v>I. až IV. 2019</c:v>
                </c:pt>
                <c:pt idx="4">
                  <c:v>I. až IV. 2020</c:v>
                </c:pt>
                <c:pt idx="5">
                  <c:v>I. až IV. 2021</c:v>
                </c:pt>
                <c:pt idx="6">
                  <c:v>I. až IV. 2022</c:v>
                </c:pt>
                <c:pt idx="7">
                  <c:v>I. až IV. 2023</c:v>
                </c:pt>
                <c:pt idx="8">
                  <c:v>I. až IV. 2024</c:v>
                </c:pt>
                <c:pt idx="9">
                  <c:v>I. až IV. 2025</c:v>
                </c:pt>
                <c:pt idx="10">
                  <c:v>I. až IV. 2026</c:v>
                </c:pt>
              </c:strCache>
            </c:strRef>
          </c:cat>
          <c:val>
            <c:numRef>
              <c:f>Hárok1!$B$31:$L$31</c:f>
              <c:numCache>
                <c:formatCode>0.0</c:formatCode>
                <c:ptCount val="11"/>
                <c:pt idx="0">
                  <c:v>355.4</c:v>
                </c:pt>
                <c:pt idx="1">
                  <c:v>377</c:v>
                </c:pt>
                <c:pt idx="2">
                  <c:v>383.8</c:v>
                </c:pt>
                <c:pt idx="3">
                  <c:v>408.1</c:v>
                </c:pt>
                <c:pt idx="4">
                  <c:v>441.2</c:v>
                </c:pt>
                <c:pt idx="5">
                  <c:v>499.7</c:v>
                </c:pt>
                <c:pt idx="6">
                  <c:v>627.4</c:v>
                </c:pt>
                <c:pt idx="7">
                  <c:v>777.8</c:v>
                </c:pt>
                <c:pt idx="8">
                  <c:v>843.5</c:v>
                </c:pt>
                <c:pt idx="9">
                  <c:v>957.8</c:v>
                </c:pt>
                <c:pt idx="10">
                  <c:v>869.2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3A0-4DF2-B331-6B0B7AD82DB3}"/>
            </c:ext>
          </c:extLst>
        </c:ser>
        <c:ser>
          <c:idx val="4"/>
          <c:order val="4"/>
          <c:tx>
            <c:strRef>
              <c:f>Hárok1!$A$32</c:f>
              <c:strCache>
                <c:ptCount val="1"/>
                <c:pt idx="0">
                  <c:v>Spolu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Hárok1!$B$27:$L$27</c:f>
              <c:strCache>
                <c:ptCount val="11"/>
                <c:pt idx="0">
                  <c:v>I. až IV. 2016</c:v>
                </c:pt>
                <c:pt idx="1">
                  <c:v>I. až IV. 2017</c:v>
                </c:pt>
                <c:pt idx="2">
                  <c:v>I. až IV. 2018</c:v>
                </c:pt>
                <c:pt idx="3">
                  <c:v>I. až IV. 2019</c:v>
                </c:pt>
                <c:pt idx="4">
                  <c:v>I. až IV. 2020</c:v>
                </c:pt>
                <c:pt idx="5">
                  <c:v>I. až IV. 2021</c:v>
                </c:pt>
                <c:pt idx="6">
                  <c:v>I. až IV. 2022</c:v>
                </c:pt>
                <c:pt idx="7">
                  <c:v>I. až IV. 2023</c:v>
                </c:pt>
                <c:pt idx="8">
                  <c:v>I. až IV. 2024</c:v>
                </c:pt>
                <c:pt idx="9">
                  <c:v>I. až IV. 2025</c:v>
                </c:pt>
                <c:pt idx="10">
                  <c:v>I. až IV. 2026</c:v>
                </c:pt>
              </c:strCache>
            </c:strRef>
          </c:cat>
          <c:val>
            <c:numRef>
              <c:f>Hárok1!$B$32:$L$32</c:f>
              <c:numCache>
                <c:formatCode>0.0</c:formatCode>
                <c:ptCount val="11"/>
                <c:pt idx="0">
                  <c:v>861.5</c:v>
                </c:pt>
                <c:pt idx="1">
                  <c:v>957.1</c:v>
                </c:pt>
                <c:pt idx="2">
                  <c:v>896.6</c:v>
                </c:pt>
                <c:pt idx="3">
                  <c:v>969</c:v>
                </c:pt>
                <c:pt idx="4">
                  <c:v>1035.5999999999999</c:v>
                </c:pt>
                <c:pt idx="5">
                  <c:v>1146.2</c:v>
                </c:pt>
                <c:pt idx="6">
                  <c:v>1437.7</c:v>
                </c:pt>
                <c:pt idx="7">
                  <c:v>1661.3</c:v>
                </c:pt>
                <c:pt idx="8">
                  <c:v>1678.5</c:v>
                </c:pt>
                <c:pt idx="9">
                  <c:v>1724.1999999999998</c:v>
                </c:pt>
                <c:pt idx="10">
                  <c:v>1759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3A0-4DF2-B331-6B0B7AD82D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8252152"/>
        <c:axId val="478247232"/>
      </c:barChart>
      <c:catAx>
        <c:axId val="478252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478247232"/>
        <c:crosses val="autoZero"/>
        <c:auto val="1"/>
        <c:lblAlgn val="ctr"/>
        <c:lblOffset val="100"/>
        <c:noMultiLvlLbl val="0"/>
      </c:catAx>
      <c:valAx>
        <c:axId val="478247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478252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 sz="900" b="1"/>
              <a:t>Saldo zahraničného obchodu s agropotravinárskymi výrobkami v januári až</a:t>
            </a:r>
            <a:r>
              <a:rPr lang="sk-SK" sz="900" b="1" baseline="0"/>
              <a:t> apríl</a:t>
            </a:r>
            <a:r>
              <a:rPr lang="sk-SK" sz="900" b="1"/>
              <a:t>i 2016-2026 </a:t>
            </a:r>
          </a:p>
          <a:p>
            <a:pPr>
              <a:defRPr sz="900" b="1"/>
            </a:pPr>
            <a:r>
              <a:rPr lang="sk-SK" sz="900" b="1"/>
              <a:t>(v mil. EUR)</a:t>
            </a:r>
          </a:p>
        </c:rich>
      </c:tx>
      <c:layout>
        <c:manualLayout>
          <c:xMode val="edge"/>
          <c:yMode val="edge"/>
          <c:x val="0.18703237410071943"/>
          <c:y val="2.56213169356904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>
        <c:manualLayout>
          <c:layoutTarget val="inner"/>
          <c:xMode val="edge"/>
          <c:yMode val="edge"/>
          <c:x val="0.10301476756997159"/>
          <c:y val="0.19430555555555556"/>
          <c:w val="0.84205094777075729"/>
          <c:h val="0.577684091571886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Hárok1!$A$53</c:f>
              <c:strCache>
                <c:ptCount val="1"/>
                <c:pt idx="0">
                  <c:v>Živočíšne výrobky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Hárok1!$B$52:$L$52</c:f>
              <c:strCache>
                <c:ptCount val="11"/>
                <c:pt idx="0">
                  <c:v>I. až IV. 2016</c:v>
                </c:pt>
                <c:pt idx="1">
                  <c:v>I. až IV. 2017</c:v>
                </c:pt>
                <c:pt idx="2">
                  <c:v>I. až IV. 2018</c:v>
                </c:pt>
                <c:pt idx="3">
                  <c:v>I. až IV. 2019</c:v>
                </c:pt>
                <c:pt idx="4">
                  <c:v>I. až IV. 2020</c:v>
                </c:pt>
                <c:pt idx="5">
                  <c:v>I. až IV. 2021</c:v>
                </c:pt>
                <c:pt idx="6">
                  <c:v>I. až IV. 2022</c:v>
                </c:pt>
                <c:pt idx="7">
                  <c:v>I. až IV. 2023</c:v>
                </c:pt>
                <c:pt idx="8">
                  <c:v>I. až IV. 2024</c:v>
                </c:pt>
                <c:pt idx="9">
                  <c:v>I. až IV. 2025</c:v>
                </c:pt>
                <c:pt idx="10">
                  <c:v>I. až IV. 2026</c:v>
                </c:pt>
              </c:strCache>
            </c:strRef>
          </c:cat>
          <c:val>
            <c:numRef>
              <c:f>Hárok1!$B$53:$L$53</c:f>
              <c:numCache>
                <c:formatCode>0.0</c:formatCode>
                <c:ptCount val="11"/>
                <c:pt idx="0">
                  <c:v>-89.6</c:v>
                </c:pt>
                <c:pt idx="1">
                  <c:v>-125.8</c:v>
                </c:pt>
                <c:pt idx="2">
                  <c:v>-144.69999999999999</c:v>
                </c:pt>
                <c:pt idx="3">
                  <c:v>-172.5</c:v>
                </c:pt>
                <c:pt idx="4">
                  <c:v>-214.7</c:v>
                </c:pt>
                <c:pt idx="5">
                  <c:v>-176.5</c:v>
                </c:pt>
                <c:pt idx="6">
                  <c:v>-258.10000000000002</c:v>
                </c:pt>
                <c:pt idx="7">
                  <c:v>-248.6</c:v>
                </c:pt>
                <c:pt idx="8">
                  <c:v>-359.3</c:v>
                </c:pt>
                <c:pt idx="9">
                  <c:v>-315.8</c:v>
                </c:pt>
                <c:pt idx="10">
                  <c:v>-250.3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06-4BDD-87C2-FC1EC243E897}"/>
            </c:ext>
          </c:extLst>
        </c:ser>
        <c:ser>
          <c:idx val="1"/>
          <c:order val="1"/>
          <c:tx>
            <c:strRef>
              <c:f>Hárok1!$A$54</c:f>
              <c:strCache>
                <c:ptCount val="1"/>
                <c:pt idx="0">
                  <c:v>Rastlinné výrobky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Hárok1!$B$52:$L$52</c:f>
              <c:strCache>
                <c:ptCount val="11"/>
                <c:pt idx="0">
                  <c:v>I. až IV. 2016</c:v>
                </c:pt>
                <c:pt idx="1">
                  <c:v>I. až IV. 2017</c:v>
                </c:pt>
                <c:pt idx="2">
                  <c:v>I. až IV. 2018</c:v>
                </c:pt>
                <c:pt idx="3">
                  <c:v>I. až IV. 2019</c:v>
                </c:pt>
                <c:pt idx="4">
                  <c:v>I. až IV. 2020</c:v>
                </c:pt>
                <c:pt idx="5">
                  <c:v>I. až IV. 2021</c:v>
                </c:pt>
                <c:pt idx="6">
                  <c:v>I. až IV. 2022</c:v>
                </c:pt>
                <c:pt idx="7">
                  <c:v>I. až IV. 2023</c:v>
                </c:pt>
                <c:pt idx="8">
                  <c:v>I. až IV. 2024</c:v>
                </c:pt>
                <c:pt idx="9">
                  <c:v>I. až IV. 2025</c:v>
                </c:pt>
                <c:pt idx="10">
                  <c:v>I. až IV. 2026</c:v>
                </c:pt>
              </c:strCache>
            </c:strRef>
          </c:cat>
          <c:val>
            <c:numRef>
              <c:f>Hárok1!$B$54:$L$54</c:f>
              <c:numCache>
                <c:formatCode>0.0</c:formatCode>
                <c:ptCount val="11"/>
                <c:pt idx="0">
                  <c:v>-112.7</c:v>
                </c:pt>
                <c:pt idx="1">
                  <c:v>4.5999999999999996</c:v>
                </c:pt>
                <c:pt idx="2">
                  <c:v>-106.8</c:v>
                </c:pt>
                <c:pt idx="3">
                  <c:v>-69.8</c:v>
                </c:pt>
                <c:pt idx="4">
                  <c:v>-73.900000000000006</c:v>
                </c:pt>
                <c:pt idx="5">
                  <c:v>-15.1</c:v>
                </c:pt>
                <c:pt idx="6">
                  <c:v>-36.4</c:v>
                </c:pt>
                <c:pt idx="7">
                  <c:v>-76.2</c:v>
                </c:pt>
                <c:pt idx="8">
                  <c:v>-102.2</c:v>
                </c:pt>
                <c:pt idx="9">
                  <c:v>-244.10000000000008</c:v>
                </c:pt>
                <c:pt idx="10">
                  <c:v>-212.80000000000007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06-4BDD-87C2-FC1EC243E897}"/>
            </c:ext>
          </c:extLst>
        </c:ser>
        <c:ser>
          <c:idx val="2"/>
          <c:order val="2"/>
          <c:tx>
            <c:strRef>
              <c:f>Hárok1!$A$55</c:f>
              <c:strCache>
                <c:ptCount val="1"/>
                <c:pt idx="0">
                  <c:v>Tuky, oleje, vosky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Hárok1!$B$52:$L$52</c:f>
              <c:strCache>
                <c:ptCount val="11"/>
                <c:pt idx="0">
                  <c:v>I. až IV. 2016</c:v>
                </c:pt>
                <c:pt idx="1">
                  <c:v>I. až IV. 2017</c:v>
                </c:pt>
                <c:pt idx="2">
                  <c:v>I. až IV. 2018</c:v>
                </c:pt>
                <c:pt idx="3">
                  <c:v>I. až IV. 2019</c:v>
                </c:pt>
                <c:pt idx="4">
                  <c:v>I. až IV. 2020</c:v>
                </c:pt>
                <c:pt idx="5">
                  <c:v>I. až IV. 2021</c:v>
                </c:pt>
                <c:pt idx="6">
                  <c:v>I. až IV. 2022</c:v>
                </c:pt>
                <c:pt idx="7">
                  <c:v>I. až IV. 2023</c:v>
                </c:pt>
                <c:pt idx="8">
                  <c:v>I. až IV. 2024</c:v>
                </c:pt>
                <c:pt idx="9">
                  <c:v>I. až IV. 2025</c:v>
                </c:pt>
                <c:pt idx="10">
                  <c:v>I. až IV. 2026</c:v>
                </c:pt>
              </c:strCache>
            </c:strRef>
          </c:cat>
          <c:val>
            <c:numRef>
              <c:f>Hárok1!$B$55:$L$55</c:f>
              <c:numCache>
                <c:formatCode>0.0</c:formatCode>
                <c:ptCount val="11"/>
                <c:pt idx="0">
                  <c:v>-17.600000000000001</c:v>
                </c:pt>
                <c:pt idx="1">
                  <c:v>-28.2</c:v>
                </c:pt>
                <c:pt idx="2">
                  <c:v>-26.7</c:v>
                </c:pt>
                <c:pt idx="3">
                  <c:v>-30.1</c:v>
                </c:pt>
                <c:pt idx="4">
                  <c:v>-4.5999999999999996</c:v>
                </c:pt>
                <c:pt idx="5">
                  <c:v>-6.4</c:v>
                </c:pt>
                <c:pt idx="6">
                  <c:v>-40.5</c:v>
                </c:pt>
                <c:pt idx="7">
                  <c:v>-81</c:v>
                </c:pt>
                <c:pt idx="8">
                  <c:v>-50</c:v>
                </c:pt>
                <c:pt idx="9">
                  <c:v>-97.1</c:v>
                </c:pt>
                <c:pt idx="10">
                  <c:v>-54.20000000000001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06-4BDD-87C2-FC1EC243E897}"/>
            </c:ext>
          </c:extLst>
        </c:ser>
        <c:ser>
          <c:idx val="3"/>
          <c:order val="3"/>
          <c:tx>
            <c:strRef>
              <c:f>Hárok1!$A$56</c:f>
              <c:strCache>
                <c:ptCount val="1"/>
                <c:pt idx="0">
                  <c:v>Potraviny, nápoje, tabak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Hárok1!$B$52:$L$52</c:f>
              <c:strCache>
                <c:ptCount val="11"/>
                <c:pt idx="0">
                  <c:v>I. až IV. 2016</c:v>
                </c:pt>
                <c:pt idx="1">
                  <c:v>I. až IV. 2017</c:v>
                </c:pt>
                <c:pt idx="2">
                  <c:v>I. až IV. 2018</c:v>
                </c:pt>
                <c:pt idx="3">
                  <c:v>I. až IV. 2019</c:v>
                </c:pt>
                <c:pt idx="4">
                  <c:v>I. až IV. 2020</c:v>
                </c:pt>
                <c:pt idx="5">
                  <c:v>I. až IV. 2021</c:v>
                </c:pt>
                <c:pt idx="6">
                  <c:v>I. až IV. 2022</c:v>
                </c:pt>
                <c:pt idx="7">
                  <c:v>I. až IV. 2023</c:v>
                </c:pt>
                <c:pt idx="8">
                  <c:v>I. až IV. 2024</c:v>
                </c:pt>
                <c:pt idx="9">
                  <c:v>I. až IV. 2025</c:v>
                </c:pt>
                <c:pt idx="10">
                  <c:v>I. až IV. 2026</c:v>
                </c:pt>
              </c:strCache>
            </c:strRef>
          </c:cat>
          <c:val>
            <c:numRef>
              <c:f>Hárok1!$B$56:$L$56</c:f>
              <c:numCache>
                <c:formatCode>0.0</c:formatCode>
                <c:ptCount val="11"/>
                <c:pt idx="0">
                  <c:v>-257.8</c:v>
                </c:pt>
                <c:pt idx="1">
                  <c:v>-229.5</c:v>
                </c:pt>
                <c:pt idx="2">
                  <c:v>-286.60000000000002</c:v>
                </c:pt>
                <c:pt idx="3">
                  <c:v>-302.8</c:v>
                </c:pt>
                <c:pt idx="4">
                  <c:v>-311.89999999999998</c:v>
                </c:pt>
                <c:pt idx="5">
                  <c:v>-315.7</c:v>
                </c:pt>
                <c:pt idx="6">
                  <c:v>-309.8</c:v>
                </c:pt>
                <c:pt idx="7">
                  <c:v>-358.7</c:v>
                </c:pt>
                <c:pt idx="8">
                  <c:v>-404</c:v>
                </c:pt>
                <c:pt idx="9">
                  <c:v>-388.70000000000005</c:v>
                </c:pt>
                <c:pt idx="10">
                  <c:v>-487.29999999999995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D06-4BDD-87C2-FC1EC243E897}"/>
            </c:ext>
          </c:extLst>
        </c:ser>
        <c:ser>
          <c:idx val="4"/>
          <c:order val="4"/>
          <c:tx>
            <c:strRef>
              <c:f>Hárok1!$A$57</c:f>
              <c:strCache>
                <c:ptCount val="1"/>
                <c:pt idx="0">
                  <c:v>Spolu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Hárok1!$B$52:$L$52</c:f>
              <c:strCache>
                <c:ptCount val="11"/>
                <c:pt idx="0">
                  <c:v>I. až IV. 2016</c:v>
                </c:pt>
                <c:pt idx="1">
                  <c:v>I. až IV. 2017</c:v>
                </c:pt>
                <c:pt idx="2">
                  <c:v>I. až IV. 2018</c:v>
                </c:pt>
                <c:pt idx="3">
                  <c:v>I. až IV. 2019</c:v>
                </c:pt>
                <c:pt idx="4">
                  <c:v>I. až IV. 2020</c:v>
                </c:pt>
                <c:pt idx="5">
                  <c:v>I. až IV. 2021</c:v>
                </c:pt>
                <c:pt idx="6">
                  <c:v>I. až IV. 2022</c:v>
                </c:pt>
                <c:pt idx="7">
                  <c:v>I. až IV. 2023</c:v>
                </c:pt>
                <c:pt idx="8">
                  <c:v>I. až IV. 2024</c:v>
                </c:pt>
                <c:pt idx="9">
                  <c:v>I. až IV. 2025</c:v>
                </c:pt>
                <c:pt idx="10">
                  <c:v>I. až IV. 2026</c:v>
                </c:pt>
              </c:strCache>
            </c:strRef>
          </c:cat>
          <c:val>
            <c:numRef>
              <c:f>Hárok1!$B$57:$L$57</c:f>
              <c:numCache>
                <c:formatCode>0.0</c:formatCode>
                <c:ptCount val="11"/>
                <c:pt idx="0">
                  <c:v>-477.7</c:v>
                </c:pt>
                <c:pt idx="1">
                  <c:v>-378.9</c:v>
                </c:pt>
                <c:pt idx="2">
                  <c:v>-564.79999999999995</c:v>
                </c:pt>
                <c:pt idx="3">
                  <c:v>-575.20000000000005</c:v>
                </c:pt>
                <c:pt idx="4">
                  <c:v>-605.1</c:v>
                </c:pt>
                <c:pt idx="5">
                  <c:v>-513.70000000000005</c:v>
                </c:pt>
                <c:pt idx="6">
                  <c:v>-644.79999999999995</c:v>
                </c:pt>
                <c:pt idx="7">
                  <c:v>-764.5</c:v>
                </c:pt>
                <c:pt idx="8">
                  <c:v>-915.5</c:v>
                </c:pt>
                <c:pt idx="9" formatCode="General">
                  <c:v>-1045.7000000000003</c:v>
                </c:pt>
                <c:pt idx="10" formatCode="General">
                  <c:v>-1004.6000000000004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D06-4BDD-87C2-FC1EC243E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67816768"/>
        <c:axId val="467815456"/>
      </c:barChart>
      <c:catAx>
        <c:axId val="467816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467815456"/>
        <c:crosses val="autoZero"/>
        <c:auto val="1"/>
        <c:lblAlgn val="ctr"/>
        <c:lblOffset val="100"/>
        <c:noMultiLvlLbl val="0"/>
      </c:catAx>
      <c:valAx>
        <c:axId val="467815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467816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Vigašová</dc:creator>
  <cp:keywords/>
  <dc:description/>
  <cp:lastModifiedBy>Veronika Vigašová</cp:lastModifiedBy>
  <cp:revision>3</cp:revision>
  <dcterms:created xsi:type="dcterms:W3CDTF">2026-07-09T09:51:00Z</dcterms:created>
  <dcterms:modified xsi:type="dcterms:W3CDTF">2026-07-09T11:14:00Z</dcterms:modified>
</cp:coreProperties>
</file>